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A3943E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i/>
          <w:iCs/>
          <w:color w:val="000000"/>
          <w:u w:val="single"/>
        </w:rPr>
      </w:pPr>
      <w:r>
        <w:rPr>
          <w:rFonts w:ascii="Arial" w:eastAsia="Arial" w:hAnsi="Arial" w:cs="Arial"/>
          <w:i/>
          <w:iCs/>
          <w:color w:val="000000"/>
          <w:u w:val="single"/>
        </w:rPr>
        <w:t>Adresát:</w:t>
      </w:r>
    </w:p>
    <w:p w14:paraId="507AF10E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</w:rPr>
      </w:pPr>
      <w:r>
        <w:rPr>
          <w:rFonts w:ascii="Arial" w:eastAsia="Arial" w:hAnsi="Arial" w:cs="Arial"/>
          <w:b/>
          <w:bCs/>
          <w:color w:val="000000"/>
        </w:rPr>
        <w:t>Ministerstvo pro místní rozvoj ČR</w:t>
      </w:r>
    </w:p>
    <w:p w14:paraId="177E7A75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K rukám Odbor územního plánování</w:t>
      </w:r>
    </w:p>
    <w:p w14:paraId="6A2CA235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Staroměstské náměstí 6, 110 00, Praha 1</w:t>
      </w:r>
    </w:p>
    <w:p w14:paraId="4D57C4F0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ID datové schránky: 26iaava, E-mail: </w:t>
      </w:r>
      <w:hyperlink r:id="rId7">
        <w:r>
          <w:rPr>
            <w:rFonts w:ascii="Arial" w:eastAsia="Arial" w:hAnsi="Arial" w:cs="Arial"/>
            <w:color w:val="0000FF"/>
            <w:sz w:val="22"/>
            <w:szCs w:val="22"/>
            <w:u w:val="single"/>
          </w:rPr>
          <w:t>podatelna@mmr.gov.cz</w:t>
        </w:r>
      </w:hyperlink>
    </w:p>
    <w:p w14:paraId="3B2B046D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i/>
          <w:iCs/>
          <w:color w:val="000000"/>
          <w:sz w:val="22"/>
          <w:szCs w:val="22"/>
        </w:rPr>
      </w:pPr>
    </w:p>
    <w:p w14:paraId="7C55B03F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E575B3E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i/>
          <w:iCs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i/>
          <w:iCs/>
          <w:color w:val="000000"/>
          <w:sz w:val="22"/>
          <w:szCs w:val="22"/>
          <w:u w:val="single"/>
        </w:rPr>
        <w:t>Podatel:</w:t>
      </w:r>
    </w:p>
    <w:p w14:paraId="78544B30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  <w:highlight w:val="yellow"/>
        </w:rPr>
      </w:pPr>
      <w:r>
        <w:rPr>
          <w:rFonts w:ascii="Arial" w:eastAsia="Arial" w:hAnsi="Arial" w:cs="Arial"/>
          <w:sz w:val="22"/>
          <w:szCs w:val="22"/>
          <w:highlight w:val="yellow"/>
        </w:rPr>
        <w:t xml:space="preserve">Jméno a příjmení/název právnické osoby </w:t>
      </w:r>
    </w:p>
    <w:p w14:paraId="54D55F68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  <w:highlight w:val="yellow"/>
        </w:rPr>
      </w:pPr>
      <w:r>
        <w:rPr>
          <w:rFonts w:ascii="Arial" w:eastAsia="Arial" w:hAnsi="Arial" w:cs="Arial"/>
          <w:sz w:val="22"/>
          <w:szCs w:val="22"/>
          <w:highlight w:val="yellow"/>
        </w:rPr>
        <w:t>datum narození/ IČO</w:t>
      </w:r>
    </w:p>
    <w:p w14:paraId="18B9F313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  <w:highlight w:val="yellow"/>
        </w:rPr>
      </w:pPr>
      <w:r>
        <w:rPr>
          <w:rFonts w:ascii="Arial" w:eastAsia="Arial" w:hAnsi="Arial" w:cs="Arial"/>
          <w:sz w:val="22"/>
          <w:szCs w:val="22"/>
          <w:highlight w:val="yellow"/>
        </w:rPr>
        <w:t xml:space="preserve">adresa trvalého bydliště/sídlo právnické osoby </w:t>
      </w:r>
    </w:p>
    <w:p w14:paraId="30AECEA9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  <w:highlight w:val="yellow"/>
        </w:rPr>
        <w:t>příp. ID datové schránky</w:t>
      </w:r>
      <w:r>
        <w:rPr>
          <w:rFonts w:ascii="Arial" w:eastAsia="Arial" w:hAnsi="Arial" w:cs="Arial"/>
          <w:color w:val="000000"/>
          <w:sz w:val="22"/>
          <w:szCs w:val="22"/>
        </w:rPr>
        <w:t>,</w:t>
      </w:r>
    </w:p>
    <w:p w14:paraId="3D3AEA0F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183211ED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3E667B8" w14:textId="77777777" w:rsidR="00132A4C" w:rsidRDefault="00000000">
      <w:pPr>
        <w:shd w:val="clear" w:color="auto" w:fill="FFFFFF"/>
        <w:ind w:left="705" w:hanging="705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color w:val="000000"/>
          <w:sz w:val="22"/>
          <w:szCs w:val="22"/>
        </w:rPr>
        <w:t>Věc:</w:t>
      </w:r>
      <w:r>
        <w:rPr>
          <w:rFonts w:ascii="Arial" w:eastAsia="Arial" w:hAnsi="Arial" w:cs="Arial"/>
          <w:color w:val="000000"/>
          <w:sz w:val="22"/>
          <w:szCs w:val="22"/>
        </w:rPr>
        <w:tab/>
      </w:r>
      <w:proofErr w:type="gramStart"/>
      <w:r>
        <w:rPr>
          <w:rFonts w:ascii="Arial" w:eastAsia="Arial" w:hAnsi="Arial" w:cs="Arial"/>
          <w:b/>
          <w:bCs/>
        </w:rPr>
        <w:t>PŘIPOMÍNKA</w:t>
      </w:r>
      <w:r>
        <w:rPr>
          <w:rFonts w:ascii="Arial" w:eastAsia="Arial" w:hAnsi="Arial" w:cs="Arial"/>
          <w:b/>
          <w:bCs/>
          <w:color w:val="EE0000"/>
        </w:rPr>
        <w:t xml:space="preserve">  </w:t>
      </w:r>
      <w:r>
        <w:rPr>
          <w:rFonts w:ascii="Arial" w:eastAsia="Arial" w:hAnsi="Arial" w:cs="Arial"/>
          <w:b/>
          <w:bCs/>
          <w:color w:val="000000"/>
        </w:rPr>
        <w:t>K</w:t>
      </w:r>
      <w:proofErr w:type="gramEnd"/>
      <w:r>
        <w:rPr>
          <w:rFonts w:ascii="Arial" w:eastAsia="Arial" w:hAnsi="Arial" w:cs="Arial"/>
          <w:b/>
          <w:bCs/>
          <w:color w:val="000000"/>
        </w:rPr>
        <w:t xml:space="preserve"> NÁVRHU ZMĚNY Č. 2 ÚZEMNÍHO ROZVOJOVÉHO PLÁNU ČR (§ </w:t>
      </w:r>
      <w:r>
        <w:rPr>
          <w:rFonts w:ascii="Arial" w:eastAsia="Arial" w:hAnsi="Arial" w:cs="Arial"/>
          <w:b/>
          <w:bCs/>
        </w:rPr>
        <w:t xml:space="preserve">97 zák. č. 283/2021 Sb., stavební zákon)  </w:t>
      </w:r>
    </w:p>
    <w:p w14:paraId="4925E7A4" w14:textId="77777777" w:rsidR="00132A4C" w:rsidRDefault="00000000">
      <w:pPr>
        <w:shd w:val="clear" w:color="auto" w:fill="FFFFFF"/>
        <w:ind w:left="705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PŘIPOMÍNKY K VYHODNOCENÍ VLIVŮ NÁVRHU ZMĚNY Č. 2 ÚZEMNÍHO ROZVOJOVÉHO PLÁNU NA UDRŽITELNÝ ROZVOJ ÚZEMÍ</w:t>
      </w:r>
    </w:p>
    <w:p w14:paraId="4E346AB3" w14:textId="77777777" w:rsidR="00132A4C" w:rsidRDefault="00000000">
      <w:pPr>
        <w:shd w:val="clear" w:color="auto" w:fill="FFFFFF"/>
        <w:ind w:left="705"/>
        <w:jc w:val="both"/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t>PŘIPOMÍNKY K NÁVRHŮM JEDNOTLIVÝCH ÚZEMNÍCH OPATŘENÍ K AKCELERAČNÍM OBLASTEM VYMEZENÝM V NÁVRHU ZMĚNY Č. 2 ÚZEMNÍHO ROZVOJOVÉHO PLÁNU</w:t>
      </w:r>
    </w:p>
    <w:p w14:paraId="4BEE32FD" w14:textId="77777777" w:rsidR="00132A4C" w:rsidRDefault="00000000">
      <w:pPr>
        <w:shd w:val="clear" w:color="auto" w:fill="FFFFFF"/>
        <w:ind w:firstLine="4"/>
        <w:jc w:val="both"/>
        <w:rPr>
          <w:rFonts w:ascii="Arial" w:eastAsia="Arial" w:hAnsi="Arial" w:cs="Arial"/>
          <w:b/>
          <w:bCs/>
          <w:i/>
          <w:iCs/>
          <w:color w:val="0070C0"/>
          <w:sz w:val="22"/>
          <w:szCs w:val="22"/>
        </w:rPr>
      </w:pPr>
      <w:r>
        <w:rPr>
          <w:rFonts w:ascii="Arial" w:eastAsia="Arial" w:hAnsi="Arial" w:cs="Arial"/>
          <w:b/>
          <w:bCs/>
          <w:i/>
          <w:iCs/>
          <w:color w:val="0070C0"/>
          <w:sz w:val="22"/>
          <w:szCs w:val="22"/>
        </w:rPr>
        <w:t xml:space="preserve">Upozornění: Jedná se o obecný návrh připomínky, která musí být ze strany odesílatele doplněna o konkrétní dopad na konkrétní </w:t>
      </w:r>
      <w:proofErr w:type="gramStart"/>
      <w:r>
        <w:rPr>
          <w:rFonts w:ascii="Arial" w:eastAsia="Arial" w:hAnsi="Arial" w:cs="Arial"/>
          <w:b/>
          <w:bCs/>
          <w:i/>
          <w:iCs/>
          <w:color w:val="0070C0"/>
          <w:sz w:val="22"/>
          <w:szCs w:val="22"/>
        </w:rPr>
        <w:t>území - nestačí</w:t>
      </w:r>
      <w:proofErr w:type="gramEnd"/>
      <w:r>
        <w:rPr>
          <w:rFonts w:ascii="Arial" w:eastAsia="Arial" w:hAnsi="Arial" w:cs="Arial"/>
          <w:b/>
          <w:bCs/>
          <w:i/>
          <w:iCs/>
          <w:color w:val="0070C0"/>
          <w:sz w:val="22"/>
          <w:szCs w:val="22"/>
        </w:rPr>
        <w:t xml:space="preserve"> vyjádřit prostý nesouhlas, musíte uvést věcné argumenty.  </w:t>
      </w:r>
    </w:p>
    <w:p w14:paraId="0C26E536" w14:textId="77777777" w:rsidR="00132A4C" w:rsidRDefault="00132A4C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</w:rPr>
      </w:pPr>
    </w:p>
    <w:p w14:paraId="4B33FF2A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I. Úvod</w:t>
      </w:r>
    </w:p>
    <w:p w14:paraId="24D0D117" w14:textId="77777777" w:rsidR="00132A4C" w:rsidRDefault="00000000">
      <w:pPr>
        <w:shd w:val="clear" w:color="auto" w:fill="FFFFFF"/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V souladu s možností uplatnit připomínky k návrhu </w:t>
      </w:r>
      <w:r>
        <w:rPr>
          <w:rFonts w:ascii="Arial" w:eastAsia="Arial" w:hAnsi="Arial" w:cs="Arial"/>
          <w:sz w:val="22"/>
          <w:szCs w:val="22"/>
        </w:rPr>
        <w:t>Změny č. 2 Územního rozvojového plánu ČR (ÚRP ČR) podávám připomínku k vymezení akcelerační oblasti pro rozvoj výroby energie z větrné energie a rozvoj výroby energie z energie slunečního záření.</w:t>
      </w:r>
    </w:p>
    <w:p w14:paraId="79F2293B" w14:textId="686333E0" w:rsidR="00132A4C" w:rsidRPr="00E546E3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EE0000"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 xml:space="preserve">Vymezení území dotčeného </w:t>
      </w:r>
      <w:r w:rsidRPr="00E546E3">
        <w:rPr>
          <w:rFonts w:ascii="Arial" w:eastAsia="Arial" w:hAnsi="Arial" w:cs="Arial"/>
          <w:b/>
          <w:bCs/>
          <w:sz w:val="22"/>
          <w:szCs w:val="22"/>
        </w:rPr>
        <w:t>připomínkami:</w:t>
      </w:r>
      <w:r w:rsidRPr="00E546E3">
        <w:rPr>
          <w:rFonts w:ascii="Arial" w:eastAsia="Arial" w:hAnsi="Arial" w:cs="Arial"/>
          <w:sz w:val="22"/>
          <w:szCs w:val="22"/>
        </w:rPr>
        <w:tab/>
        <w:t xml:space="preserve"> </w:t>
      </w:r>
      <w:r w:rsidRPr="00E546E3">
        <w:rPr>
          <w:rFonts w:ascii="Arial" w:eastAsia="Arial" w:hAnsi="Arial" w:cs="Arial"/>
          <w:color w:val="EE0000"/>
          <w:sz w:val="22"/>
          <w:szCs w:val="22"/>
        </w:rPr>
        <w:t>katastrální území</w:t>
      </w:r>
      <w:r w:rsidR="00E546E3" w:rsidRPr="00E546E3">
        <w:rPr>
          <w:rFonts w:ascii="Arial" w:eastAsia="Arial" w:hAnsi="Arial" w:cs="Arial"/>
          <w:color w:val="EE0000"/>
          <w:sz w:val="22"/>
          <w:szCs w:val="22"/>
        </w:rPr>
        <w:t xml:space="preserve"> Lubná u Kroměříže</w:t>
      </w:r>
    </w:p>
    <w:p w14:paraId="23D2FACD" w14:textId="6E82ECC6" w:rsidR="00E546E3" w:rsidRPr="00E546E3" w:rsidRDefault="00E546E3">
      <w:pPr>
        <w:shd w:val="clear" w:color="auto" w:fill="FFFFFF"/>
        <w:spacing w:after="0" w:line="240" w:lineRule="auto"/>
        <w:rPr>
          <w:rFonts w:ascii="Arial" w:eastAsia="Arial" w:hAnsi="Arial" w:cs="Arial"/>
          <w:color w:val="EE0000"/>
          <w:sz w:val="22"/>
          <w:szCs w:val="22"/>
        </w:rPr>
      </w:pPr>
      <w:r w:rsidRPr="00E546E3">
        <w:rPr>
          <w:rFonts w:ascii="Arial" w:eastAsia="Arial" w:hAnsi="Arial" w:cs="Arial"/>
          <w:color w:val="EE0000"/>
          <w:sz w:val="22"/>
          <w:szCs w:val="22"/>
        </w:rPr>
        <w:tab/>
      </w:r>
      <w:r w:rsidRPr="00E546E3">
        <w:rPr>
          <w:rFonts w:ascii="Arial" w:eastAsia="Arial" w:hAnsi="Arial" w:cs="Arial"/>
          <w:color w:val="EE0000"/>
          <w:sz w:val="22"/>
          <w:szCs w:val="22"/>
        </w:rPr>
        <w:tab/>
      </w:r>
      <w:r w:rsidRPr="00E546E3">
        <w:rPr>
          <w:rFonts w:ascii="Arial" w:eastAsia="Arial" w:hAnsi="Arial" w:cs="Arial"/>
          <w:color w:val="EE0000"/>
          <w:sz w:val="22"/>
          <w:szCs w:val="22"/>
        </w:rPr>
        <w:tab/>
      </w:r>
      <w:r w:rsidRPr="00E546E3">
        <w:rPr>
          <w:rFonts w:ascii="Arial" w:eastAsia="Arial" w:hAnsi="Arial" w:cs="Arial"/>
          <w:color w:val="EE0000"/>
          <w:sz w:val="22"/>
          <w:szCs w:val="22"/>
        </w:rPr>
        <w:tab/>
      </w:r>
      <w:r w:rsidRPr="00E546E3">
        <w:rPr>
          <w:rFonts w:ascii="Arial" w:eastAsia="Arial" w:hAnsi="Arial" w:cs="Arial"/>
          <w:color w:val="EE0000"/>
          <w:sz w:val="22"/>
          <w:szCs w:val="22"/>
        </w:rPr>
        <w:tab/>
      </w:r>
      <w:r w:rsidRPr="00E546E3">
        <w:rPr>
          <w:rFonts w:ascii="Arial" w:eastAsia="Arial" w:hAnsi="Arial" w:cs="Arial"/>
          <w:color w:val="EE0000"/>
          <w:sz w:val="22"/>
          <w:szCs w:val="22"/>
        </w:rPr>
        <w:tab/>
      </w:r>
      <w:r w:rsidRPr="00E546E3">
        <w:rPr>
          <w:rFonts w:ascii="Arial" w:eastAsia="Arial" w:hAnsi="Arial" w:cs="Arial"/>
          <w:color w:val="EE0000"/>
          <w:sz w:val="22"/>
          <w:szCs w:val="22"/>
        </w:rPr>
        <w:tab/>
        <w:t xml:space="preserve"> Zlínský kraj</w:t>
      </w:r>
    </w:p>
    <w:p w14:paraId="6F50B7F0" w14:textId="77777777" w:rsidR="00E546E3" w:rsidRDefault="00E546E3" w:rsidP="00E546E3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32518E42" w14:textId="3596A550" w:rsidR="00132A4C" w:rsidRDefault="00000000" w:rsidP="00E546E3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 w:rsidRPr="00E546E3">
        <w:rPr>
          <w:rFonts w:ascii="Arial" w:eastAsia="Arial" w:hAnsi="Arial" w:cs="Arial"/>
          <w:sz w:val="22"/>
          <w:szCs w:val="22"/>
        </w:rPr>
        <w:t>Územní opatření k</w:t>
      </w:r>
      <w:r w:rsidR="00E546E3">
        <w:rPr>
          <w:rFonts w:ascii="Arial" w:eastAsia="Arial" w:hAnsi="Arial" w:cs="Arial"/>
          <w:sz w:val="22"/>
          <w:szCs w:val="22"/>
        </w:rPr>
        <w:t> </w:t>
      </w:r>
      <w:r w:rsidRPr="00E546E3">
        <w:rPr>
          <w:rFonts w:ascii="Arial" w:eastAsia="Arial" w:hAnsi="Arial" w:cs="Arial"/>
          <w:sz w:val="22"/>
          <w:szCs w:val="22"/>
        </w:rPr>
        <w:t>AO</w:t>
      </w:r>
      <w:r w:rsidR="00E546E3" w:rsidRPr="00E546E3">
        <w:rPr>
          <w:rFonts w:ascii="Arial" w:eastAsia="Arial" w:hAnsi="Arial" w:cs="Arial"/>
          <w:sz w:val="22"/>
          <w:szCs w:val="22"/>
        </w:rPr>
        <w:t>S</w:t>
      </w:r>
      <w:r w:rsidR="00E546E3">
        <w:rPr>
          <w:rFonts w:ascii="Arial" w:eastAsia="Arial" w:hAnsi="Arial" w:cs="Arial"/>
          <w:sz w:val="22"/>
          <w:szCs w:val="22"/>
        </w:rPr>
        <w:t xml:space="preserve">3 </w:t>
      </w:r>
      <w:r>
        <w:rPr>
          <w:rFonts w:ascii="Arial" w:eastAsia="Arial" w:hAnsi="Arial" w:cs="Arial"/>
          <w:color w:val="000000"/>
          <w:sz w:val="22"/>
          <w:szCs w:val="22"/>
        </w:rPr>
        <w:t>a současně na širší území, které může být navrženým řešením přímo či nepřímo ovlivněno.</w:t>
      </w:r>
    </w:p>
    <w:p w14:paraId="7DCB56CF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Připomínku podávám: </w:t>
      </w:r>
      <w:r>
        <w:rPr>
          <w:rFonts w:ascii="Arial" w:eastAsia="Arial" w:hAnsi="Arial" w:cs="Arial"/>
          <w:color w:val="000000"/>
          <w:sz w:val="22"/>
          <w:szCs w:val="22"/>
          <w:highlight w:val="yellow"/>
        </w:rPr>
        <w:t>(zaškrtněte konkrétní variantu. Nehodící se lze ponechat / případně upravit)</w:t>
      </w:r>
    </w:p>
    <w:p w14:paraId="7CCE456C" w14:textId="77777777" w:rsidR="00132A4C" w:rsidRDefault="00000000">
      <w:pPr>
        <w:shd w:val="clear" w:color="auto" w:fill="FFFFFF"/>
        <w:spacing w:after="0" w:line="240" w:lineRule="auto"/>
        <w:ind w:left="284" w:hanging="284"/>
        <w:rPr>
          <w:rFonts w:ascii="Quattrocento Sans" w:eastAsia="Quattrocento Sans" w:hAnsi="Quattrocento Sans" w:cs="Quattrocento Sans"/>
          <w:color w:val="000000"/>
          <w:sz w:val="22"/>
          <w:szCs w:val="22"/>
        </w:rPr>
      </w:pPr>
      <w:proofErr w:type="gramStart"/>
      <w:r>
        <w:rPr>
          <w:rFonts w:ascii="MS Gothic" w:eastAsia="MS Gothic" w:hAnsi="MS Gothic" w:cs="MS Gothic"/>
          <w:color w:val="000000"/>
          <w:sz w:val="22"/>
          <w:szCs w:val="22"/>
        </w:rPr>
        <w:t>☐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  </w:t>
      </w:r>
      <w:r>
        <w:rPr>
          <w:rFonts w:ascii="Arial" w:eastAsia="Arial" w:hAnsi="Arial" w:cs="Arial"/>
          <w:color w:val="000000"/>
          <w:sz w:val="22"/>
          <w:szCs w:val="22"/>
        </w:rPr>
        <w:t>jako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osoba žijící v dotčeném území</w:t>
      </w:r>
    </w:p>
    <w:p w14:paraId="104A34C0" w14:textId="77777777" w:rsidR="00132A4C" w:rsidRDefault="00000000">
      <w:pPr>
        <w:shd w:val="clear" w:color="auto" w:fill="FFFFFF"/>
        <w:spacing w:after="0" w:line="240" w:lineRule="auto"/>
        <w:ind w:left="284" w:hanging="284"/>
        <w:rPr>
          <w:rFonts w:ascii="Arial" w:eastAsia="Arial" w:hAnsi="Arial" w:cs="Arial"/>
          <w:color w:val="000000"/>
          <w:sz w:val="22"/>
          <w:szCs w:val="22"/>
        </w:rPr>
      </w:pPr>
      <w:proofErr w:type="gramStart"/>
      <w:r>
        <w:rPr>
          <w:rFonts w:ascii="MS Gothic" w:eastAsia="MS Gothic" w:hAnsi="MS Gothic" w:cs="MS Gothic"/>
          <w:color w:val="000000"/>
          <w:sz w:val="22"/>
          <w:szCs w:val="22"/>
        </w:rPr>
        <w:t>☐</w:t>
      </w:r>
      <w:r>
        <w:rPr>
          <w:rFonts w:ascii="Quattrocento Sans" w:eastAsia="Quattrocento Sans" w:hAnsi="Quattrocento Sans" w:cs="Quattrocento Sans"/>
          <w:color w:val="000000"/>
          <w:sz w:val="22"/>
          <w:szCs w:val="22"/>
        </w:rPr>
        <w:t xml:space="preserve">  </w:t>
      </w:r>
      <w:r>
        <w:rPr>
          <w:rFonts w:ascii="Arial" w:eastAsia="Arial" w:hAnsi="Arial" w:cs="Arial"/>
          <w:color w:val="000000"/>
          <w:sz w:val="22"/>
          <w:szCs w:val="22"/>
        </w:rPr>
        <w:t>jako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vlastník nemovitosti v dotčeném území</w:t>
      </w:r>
    </w:p>
    <w:p w14:paraId="09D66E9D" w14:textId="77777777" w:rsidR="00132A4C" w:rsidRDefault="00000000">
      <w:pPr>
        <w:shd w:val="clear" w:color="auto" w:fill="FFFFFF"/>
        <w:spacing w:line="240" w:lineRule="auto"/>
        <w:ind w:left="284" w:hanging="284"/>
        <w:rPr>
          <w:rFonts w:ascii="Arial" w:eastAsia="Arial" w:hAnsi="Arial" w:cs="Arial"/>
          <w:color w:val="000000"/>
          <w:sz w:val="22"/>
          <w:szCs w:val="22"/>
        </w:rPr>
      </w:pPr>
      <w:proofErr w:type="gramStart"/>
      <w:r>
        <w:rPr>
          <w:rFonts w:ascii="MS Gothic" w:eastAsia="MS Gothic" w:hAnsi="MS Gothic" w:cs="MS Gothic"/>
          <w:color w:val="000000"/>
          <w:sz w:val="22"/>
          <w:szCs w:val="22"/>
        </w:rPr>
        <w:t>☐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 jako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 xml:space="preserve"> osoba, která může být dotčena dopady návrhu (např. z hlediska krajiny, životního prostředí či kvality života)</w:t>
      </w:r>
    </w:p>
    <w:p w14:paraId="025E2DBE" w14:textId="77777777" w:rsidR="00132A4C" w:rsidRDefault="00000000">
      <w:pPr>
        <w:shd w:val="clear" w:color="auto" w:fill="FFFFFF"/>
        <w:spacing w:line="24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Jedná se o území s významnými krajinnými, přírodními a obytnými hodnotami, které nejsou návrhem dostatečně respektovány.</w:t>
      </w:r>
    </w:p>
    <w:p w14:paraId="720D880B" w14:textId="6CDFF195" w:rsidR="00132A4C" w:rsidRDefault="00000000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S návrhem týkajícím se Územního </w:t>
      </w:r>
      <w:r w:rsidRPr="00E546E3">
        <w:rPr>
          <w:rFonts w:ascii="Arial" w:eastAsia="Arial" w:hAnsi="Arial" w:cs="Arial"/>
          <w:sz w:val="22"/>
          <w:szCs w:val="22"/>
        </w:rPr>
        <w:t>opatření k</w:t>
      </w:r>
      <w:r w:rsidR="00E546E3" w:rsidRPr="00E546E3">
        <w:rPr>
          <w:rFonts w:ascii="Arial" w:eastAsia="Arial" w:hAnsi="Arial" w:cs="Arial"/>
          <w:sz w:val="22"/>
          <w:szCs w:val="22"/>
        </w:rPr>
        <w:t xml:space="preserve"> </w:t>
      </w:r>
      <w:r w:rsidRPr="00E546E3">
        <w:rPr>
          <w:rFonts w:ascii="Arial" w:eastAsia="Arial" w:hAnsi="Arial" w:cs="Arial"/>
          <w:b/>
          <w:bCs/>
          <w:color w:val="EE0000"/>
          <w:sz w:val="22"/>
          <w:szCs w:val="22"/>
        </w:rPr>
        <w:t>AO</w:t>
      </w:r>
      <w:r w:rsidR="00E546E3" w:rsidRPr="00E546E3">
        <w:rPr>
          <w:rFonts w:ascii="Arial" w:eastAsia="Arial" w:hAnsi="Arial" w:cs="Arial"/>
          <w:b/>
          <w:bCs/>
          <w:color w:val="EE0000"/>
          <w:sz w:val="22"/>
          <w:szCs w:val="22"/>
        </w:rPr>
        <w:t>S3</w:t>
      </w:r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b/>
          <w:bCs/>
          <w:sz w:val="22"/>
          <w:szCs w:val="22"/>
        </w:rPr>
        <w:t>nesouhlasím</w:t>
      </w:r>
      <w:r>
        <w:rPr>
          <w:rFonts w:ascii="Arial" w:eastAsia="Arial" w:hAnsi="Arial" w:cs="Arial"/>
          <w:sz w:val="22"/>
          <w:szCs w:val="22"/>
        </w:rPr>
        <w:t xml:space="preserve"> a požaduji jeho </w:t>
      </w:r>
      <w:r>
        <w:rPr>
          <w:rFonts w:ascii="Arial" w:eastAsia="Arial" w:hAnsi="Arial" w:cs="Arial"/>
          <w:b/>
          <w:bCs/>
          <w:sz w:val="22"/>
          <w:szCs w:val="22"/>
        </w:rPr>
        <w:t>vyřazení nebo zásadní přepracování</w:t>
      </w:r>
      <w:r>
        <w:rPr>
          <w:rFonts w:ascii="Arial" w:eastAsia="Arial" w:hAnsi="Arial" w:cs="Arial"/>
          <w:sz w:val="22"/>
          <w:szCs w:val="22"/>
        </w:rPr>
        <w:t>, neboť vykazuje závažné nedostatky z hlediska zákonnosti, ochrany životního prostředí i dopadů na obyvatele v dané oblasti.</w:t>
      </w:r>
    </w:p>
    <w:p w14:paraId="0C290CC8" w14:textId="77777777" w:rsidR="00132A4C" w:rsidRDefault="00132A4C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sz w:val="22"/>
          <w:szCs w:val="22"/>
        </w:rPr>
      </w:pPr>
    </w:p>
    <w:p w14:paraId="1DDC05BD" w14:textId="77777777" w:rsidR="00132A4C" w:rsidRDefault="00132A4C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21D64EB8" w14:textId="77777777" w:rsidR="00E546E3" w:rsidRDefault="00E546E3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4799F19C" w14:textId="77777777" w:rsidR="00E546E3" w:rsidRDefault="00E546E3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color w:val="000000"/>
          <w:sz w:val="22"/>
          <w:szCs w:val="22"/>
        </w:rPr>
      </w:pPr>
    </w:p>
    <w:p w14:paraId="1CD4D62A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II. Zákonnost a nesoulad s právními předpisy ČR</w:t>
      </w:r>
    </w:p>
    <w:p w14:paraId="2C28CD12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1) Rozpor se zákonem č. 500/2004 Sb., správní řád</w:t>
      </w:r>
    </w:p>
    <w:p w14:paraId="344FEDC7" w14:textId="77777777" w:rsidR="00132A4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§ 3 – nebyl zjištěn stav bez důvodných pochybností</w:t>
      </w:r>
    </w:p>
    <w:p w14:paraId="7961B4A5" w14:textId="77777777" w:rsidR="00132A4C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§ 68 – nedostatečné odůvodnění</w:t>
      </w:r>
    </w:p>
    <w:p w14:paraId="345C177A" w14:textId="77777777" w:rsidR="00132A4C" w:rsidRDefault="00000000">
      <w:pPr>
        <w:shd w:val="clear" w:color="auto" w:fill="FFFFFF"/>
        <w:spacing w:after="0" w:line="240" w:lineRule="auto"/>
        <w:ind w:firstLine="284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Návrh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je nepřezkoumatelný</w:t>
      </w:r>
      <w:r>
        <w:rPr>
          <w:rFonts w:ascii="Arial" w:eastAsia="Arial" w:hAnsi="Arial" w:cs="Arial"/>
          <w:color w:val="000000"/>
          <w:sz w:val="22"/>
          <w:szCs w:val="22"/>
        </w:rPr>
        <w:t>, protože neobsahuje konkrétní podklady pro dané území.</w:t>
      </w:r>
    </w:p>
    <w:p w14:paraId="4BFD6EC6" w14:textId="77777777" w:rsidR="00132A4C" w:rsidRDefault="00132A4C">
      <w:pPr>
        <w:shd w:val="clear" w:color="auto" w:fill="FFFFFF"/>
        <w:spacing w:after="0" w:line="240" w:lineRule="auto"/>
        <w:ind w:firstLine="284"/>
        <w:rPr>
          <w:rFonts w:ascii="Arial" w:eastAsia="Arial" w:hAnsi="Arial" w:cs="Arial"/>
          <w:color w:val="000000"/>
          <w:sz w:val="22"/>
          <w:szCs w:val="22"/>
        </w:rPr>
      </w:pPr>
    </w:p>
    <w:p w14:paraId="548F7865" w14:textId="77777777" w:rsidR="00132A4C" w:rsidRDefault="00132A4C">
      <w:pPr>
        <w:shd w:val="clear" w:color="auto" w:fill="FFFFFF"/>
        <w:spacing w:after="0" w:line="240" w:lineRule="auto"/>
        <w:ind w:firstLine="284"/>
        <w:rPr>
          <w:rFonts w:ascii="Arial" w:eastAsia="Arial" w:hAnsi="Arial" w:cs="Arial"/>
          <w:color w:val="000000"/>
          <w:sz w:val="22"/>
          <w:szCs w:val="22"/>
        </w:rPr>
      </w:pPr>
    </w:p>
    <w:p w14:paraId="1F0AAC0F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 xml:space="preserve">2) Rozpor se zákonem č. 100/2001 Sb. (EIA/SEA), </w:t>
      </w:r>
      <w:r>
        <w:rPr>
          <w:rFonts w:ascii="Arial" w:eastAsia="Arial" w:hAnsi="Arial" w:cs="Arial"/>
          <w:color w:val="000000"/>
          <w:sz w:val="22"/>
          <w:szCs w:val="22"/>
        </w:rPr>
        <w:t>chybí posouzení:</w:t>
      </w:r>
    </w:p>
    <w:p w14:paraId="77778E77" w14:textId="77777777" w:rsidR="00132A4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kumulativních vlivů</w:t>
      </w:r>
    </w:p>
    <w:p w14:paraId="40A17553" w14:textId="77777777" w:rsidR="00132A4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variantního řešení</w:t>
      </w:r>
    </w:p>
    <w:p w14:paraId="0D1EC201" w14:textId="77777777" w:rsidR="00132A4C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konkrétních dopadů na území</w:t>
      </w:r>
    </w:p>
    <w:p w14:paraId="70055376" w14:textId="77777777" w:rsidR="00132A4C" w:rsidRDefault="00000000">
      <w:pPr>
        <w:shd w:val="clear" w:color="auto" w:fill="FFFFFF"/>
        <w:spacing w:after="0" w:line="240" w:lineRule="auto"/>
        <w:ind w:firstLine="284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Dokumentace SEA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je neúplná a věcně nedostatečná.</w:t>
      </w:r>
    </w:p>
    <w:p w14:paraId="175FD16D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1F20A4E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3) Rozpor se zákonem č. 114/1992 Sb. (ochrana přírody a krajiny)</w:t>
      </w:r>
    </w:p>
    <w:p w14:paraId="4D8225A8" w14:textId="77777777" w:rsidR="00132A4C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ohrožení krajinného rázu (§ 12)</w:t>
      </w:r>
    </w:p>
    <w:p w14:paraId="14EB7746" w14:textId="77777777" w:rsidR="00132A4C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narušení ekologické stability</w:t>
      </w:r>
    </w:p>
    <w:p w14:paraId="284B78B8" w14:textId="77777777" w:rsidR="00132A4C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zásah do biotopů a migračních tras</w:t>
      </w:r>
    </w:p>
    <w:p w14:paraId="7262FED6" w14:textId="77777777" w:rsidR="00132A4C" w:rsidRDefault="00132A4C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/>
        <w:rPr>
          <w:rFonts w:ascii="Arial" w:eastAsia="Arial" w:hAnsi="Arial" w:cs="Arial"/>
          <w:color w:val="000000"/>
          <w:sz w:val="22"/>
          <w:szCs w:val="22"/>
        </w:rPr>
      </w:pPr>
    </w:p>
    <w:p w14:paraId="5AD74955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4) Rozpor se stavebním zákonem</w:t>
      </w:r>
    </w:p>
    <w:p w14:paraId="102529CF" w14:textId="77777777" w:rsidR="00132A4C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§ 18 a § 19 – ochrana hodnot území</w:t>
      </w:r>
    </w:p>
    <w:p w14:paraId="7CC19B33" w14:textId="77777777" w:rsidR="00132A4C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požadavek na udržitelný rozvoj</w:t>
      </w:r>
    </w:p>
    <w:p w14:paraId="2A6BEBCA" w14:textId="77777777" w:rsidR="00132A4C" w:rsidRDefault="00000000">
      <w:pPr>
        <w:shd w:val="clear" w:color="auto" w:fill="FFFFFF"/>
        <w:spacing w:after="0" w:line="240" w:lineRule="auto"/>
        <w:ind w:firstLine="284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Návrh představuje industrializaci volné krajiny </w:t>
      </w:r>
      <w:r>
        <w:rPr>
          <w:rFonts w:ascii="Arial" w:eastAsia="Arial" w:hAnsi="Arial" w:cs="Arial"/>
          <w:b/>
          <w:bCs/>
          <w:color w:val="000000"/>
          <w:sz w:val="22"/>
          <w:szCs w:val="22"/>
        </w:rPr>
        <w:t>bez dostatečného odůvodnění</w:t>
      </w:r>
      <w:r>
        <w:rPr>
          <w:rFonts w:ascii="Arial" w:eastAsia="Arial" w:hAnsi="Arial" w:cs="Arial"/>
          <w:color w:val="000000"/>
          <w:sz w:val="22"/>
          <w:szCs w:val="22"/>
        </w:rPr>
        <w:t>.</w:t>
      </w:r>
    </w:p>
    <w:p w14:paraId="09416C64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38814AA7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u w:val="single"/>
        </w:rPr>
      </w:pPr>
      <w:r>
        <w:rPr>
          <w:rFonts w:ascii="Arial" w:eastAsia="Arial" w:hAnsi="Arial" w:cs="Arial"/>
          <w:b/>
          <w:bCs/>
          <w:color w:val="000000"/>
          <w:u w:val="single"/>
        </w:rPr>
        <w:t>III. Nesoulad s právem Evropské unie</w:t>
      </w:r>
    </w:p>
    <w:p w14:paraId="5319AA74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b/>
          <w:bCs/>
          <w:color w:val="000000"/>
          <w:u w:val="single"/>
        </w:rPr>
      </w:pPr>
    </w:p>
    <w:p w14:paraId="1AAD106A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1) Směrnice o ptácích (2009/147/ES) a o stanovištích (92/43/EHS)</w:t>
      </w:r>
    </w:p>
    <w:p w14:paraId="7C5B780A" w14:textId="77777777" w:rsidR="00132A4C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nelze vyloučit negativní vliv na chráněné druhy</w:t>
      </w:r>
    </w:p>
    <w:p w14:paraId="5C19070D" w14:textId="77777777" w:rsidR="00132A4C" w:rsidRDefault="00000000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chybí dostatečné biologické podklady</w:t>
      </w:r>
    </w:p>
    <w:p w14:paraId="47305B75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b/>
          <w:bCs/>
          <w:color w:val="000000"/>
          <w:sz w:val="22"/>
          <w:szCs w:val="22"/>
        </w:rPr>
        <w:t>Rozpor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s požadavkem vyloučení významného vlivu.</w:t>
      </w:r>
    </w:p>
    <w:p w14:paraId="25317A43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762C1F3F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2) Směrnice EIA (2011/92/EU)</w:t>
      </w:r>
    </w:p>
    <w:p w14:paraId="15B7BBF6" w14:textId="77777777" w:rsidR="00132A4C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nedostatečné zapojení veřejnosti</w:t>
      </w:r>
    </w:p>
    <w:p w14:paraId="44B27A73" w14:textId="77777777" w:rsidR="00132A4C" w:rsidRDefault="00000000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nedostatečné vyhodnocení vlivů</w:t>
      </w:r>
    </w:p>
    <w:p w14:paraId="0E105C75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24B79D58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t>3) Směrnice RED III (2023/2413)</w:t>
      </w:r>
    </w:p>
    <w:p w14:paraId="331BEC39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nebyla doložena priorita využití:</w:t>
      </w:r>
    </w:p>
    <w:p w14:paraId="51420379" w14:textId="77777777" w:rsidR="00132A4C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zastavěných ploch</w:t>
      </w:r>
    </w:p>
    <w:p w14:paraId="6C8C1EB5" w14:textId="77777777" w:rsidR="00132A4C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brownfieldů</w:t>
      </w:r>
    </w:p>
    <w:p w14:paraId="5682F938" w14:textId="77777777" w:rsidR="00132A4C" w:rsidRDefault="00000000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567" w:hanging="283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technicky narušených území</w:t>
      </w:r>
    </w:p>
    <w:p w14:paraId="799FAFBC" w14:textId="77777777" w:rsidR="00132A4C" w:rsidRDefault="00000000">
      <w:pPr>
        <w:shd w:val="clear" w:color="auto" w:fill="FFFFFF"/>
        <w:spacing w:after="0" w:line="240" w:lineRule="auto"/>
        <w:ind w:left="142" w:firstLine="142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Vymezení ve volné krajině je v </w:t>
      </w:r>
      <w:r>
        <w:rPr>
          <w:rFonts w:ascii="Arial" w:eastAsia="Arial" w:hAnsi="Arial" w:cs="Arial"/>
          <w:b/>
          <w:bCs/>
          <w:sz w:val="22"/>
          <w:szCs w:val="22"/>
        </w:rPr>
        <w:t>rozporu s principem minimalizace dopadů.</w:t>
      </w:r>
    </w:p>
    <w:p w14:paraId="7E25A9B1" w14:textId="77777777" w:rsidR="00132A4C" w:rsidRDefault="00132A4C">
      <w:pPr>
        <w:shd w:val="clear" w:color="auto" w:fill="FFFFFF"/>
        <w:spacing w:after="0" w:line="240" w:lineRule="auto"/>
        <w:ind w:left="142" w:firstLine="142"/>
        <w:rPr>
          <w:rFonts w:ascii="Arial" w:eastAsia="Arial" w:hAnsi="Arial" w:cs="Arial"/>
          <w:sz w:val="22"/>
          <w:szCs w:val="22"/>
        </w:rPr>
      </w:pPr>
    </w:p>
    <w:p w14:paraId="05EBE8CF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464F0A44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eastAsia="Arial" w:hAnsi="Arial" w:cs="Arial"/>
          <w:b/>
          <w:bCs/>
          <w:sz w:val="22"/>
          <w:szCs w:val="22"/>
        </w:rPr>
        <w:lastRenderedPageBreak/>
        <w:t>4) Princip předběžné opatrnosti (čl. 191 SFEU)</w:t>
      </w:r>
    </w:p>
    <w:p w14:paraId="6149ADF7" w14:textId="77777777" w:rsidR="00132A4C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Politika Unie v oblasti životního prostředí přispívá k sledování následujících cílů:</w:t>
      </w:r>
    </w:p>
    <w:tbl>
      <w:tblPr>
        <w:tblStyle w:val="a"/>
        <w:tblW w:w="974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20"/>
        <w:gridCol w:w="9726"/>
      </w:tblGrid>
      <w:tr w:rsidR="00132A4C" w14:paraId="44A5262B" w14:textId="77777777">
        <w:tc>
          <w:tcPr>
            <w:tcW w:w="10" w:type="dxa"/>
            <w:shd w:val="clear" w:color="auto" w:fill="FFFFFF"/>
          </w:tcPr>
          <w:p w14:paraId="62A3BFB5" w14:textId="77777777" w:rsidR="00132A4C" w:rsidRDefault="00132A4C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284" w:hanging="284"/>
              <w:rPr>
                <w:color w:val="000000"/>
                <w:sz w:val="22"/>
                <w:szCs w:val="22"/>
              </w:rPr>
            </w:pPr>
          </w:p>
        </w:tc>
        <w:tc>
          <w:tcPr>
            <w:tcW w:w="9736" w:type="dxa"/>
            <w:shd w:val="clear" w:color="auto" w:fill="FFFFFF"/>
          </w:tcPr>
          <w:p w14:paraId="3EFE80EF" w14:textId="77777777" w:rsidR="00132A4C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284" w:hanging="284"/>
              <w:rPr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zachování, ochrana a zlepšování kvality životního prostředí,</w:t>
            </w:r>
          </w:p>
        </w:tc>
      </w:tr>
      <w:tr w:rsidR="00132A4C" w14:paraId="12F714C2" w14:textId="77777777">
        <w:tc>
          <w:tcPr>
            <w:tcW w:w="10" w:type="dxa"/>
            <w:shd w:val="clear" w:color="auto" w:fill="FFFFFF"/>
          </w:tcPr>
          <w:p w14:paraId="0EB61531" w14:textId="77777777" w:rsidR="00132A4C" w:rsidRDefault="00132A4C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284" w:hanging="284"/>
              <w:rPr>
                <w:color w:val="000000"/>
                <w:sz w:val="22"/>
                <w:szCs w:val="22"/>
              </w:rPr>
            </w:pPr>
          </w:p>
        </w:tc>
        <w:tc>
          <w:tcPr>
            <w:tcW w:w="9736" w:type="dxa"/>
            <w:shd w:val="clear" w:color="auto" w:fill="FFFFFF"/>
          </w:tcPr>
          <w:p w14:paraId="7A57BCE8" w14:textId="77777777" w:rsidR="00132A4C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284" w:hanging="284"/>
              <w:rPr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ochrana lidského zdraví,</w:t>
            </w:r>
          </w:p>
        </w:tc>
      </w:tr>
      <w:tr w:rsidR="00132A4C" w14:paraId="5C134994" w14:textId="77777777">
        <w:tc>
          <w:tcPr>
            <w:tcW w:w="10" w:type="dxa"/>
            <w:shd w:val="clear" w:color="auto" w:fill="FFFFFF"/>
          </w:tcPr>
          <w:p w14:paraId="2BE40F59" w14:textId="77777777" w:rsidR="00132A4C" w:rsidRDefault="00132A4C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284" w:hanging="284"/>
              <w:rPr>
                <w:color w:val="000000"/>
                <w:sz w:val="22"/>
                <w:szCs w:val="22"/>
              </w:rPr>
            </w:pPr>
          </w:p>
        </w:tc>
        <w:tc>
          <w:tcPr>
            <w:tcW w:w="9736" w:type="dxa"/>
            <w:shd w:val="clear" w:color="auto" w:fill="FFFFFF"/>
          </w:tcPr>
          <w:p w14:paraId="672D9E00" w14:textId="77777777" w:rsidR="00132A4C" w:rsidRDefault="00000000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auto" w:fill="FFFFFF"/>
              <w:spacing w:after="0" w:line="240" w:lineRule="auto"/>
              <w:ind w:left="284" w:hanging="284"/>
              <w:rPr>
                <w:color w:val="000000"/>
                <w:sz w:val="22"/>
                <w:szCs w:val="22"/>
              </w:rPr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</w:rPr>
              <w:t>uvážlivé a racionální využívání přírodních zdrojů,</w:t>
            </w:r>
          </w:p>
        </w:tc>
      </w:tr>
    </w:tbl>
    <w:p w14:paraId="6AFA9BF6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2B3E2D78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0B632D3D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IV. Nedostatky SEA a podkladů</w:t>
      </w:r>
    </w:p>
    <w:p w14:paraId="76CB2C10" w14:textId="77777777" w:rsidR="00132A4C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absence terénních biologických průzkumů</w:t>
      </w:r>
    </w:p>
    <w:p w14:paraId="6B6656C6" w14:textId="77777777" w:rsidR="00132A4C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práce pouze s mapovými podklady (nedostatečné)</w:t>
      </w:r>
    </w:p>
    <w:p w14:paraId="501BD899" w14:textId="77777777" w:rsidR="00132A4C" w:rsidRDefault="00000000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chybí reálná data o výskytu druhů</w:t>
      </w:r>
    </w:p>
    <w:p w14:paraId="57514A5C" w14:textId="77777777" w:rsidR="00132A4C" w:rsidRDefault="00000000">
      <w:pPr>
        <w:shd w:val="clear" w:color="auto" w:fill="FFFFFF"/>
        <w:spacing w:after="0" w:line="240" w:lineRule="auto"/>
        <w:ind w:left="284" w:hanging="2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Bez těchto podkladů </w:t>
      </w:r>
      <w:r>
        <w:rPr>
          <w:rFonts w:ascii="Arial" w:eastAsia="Arial" w:hAnsi="Arial" w:cs="Arial"/>
          <w:b/>
          <w:bCs/>
          <w:sz w:val="22"/>
          <w:szCs w:val="22"/>
        </w:rPr>
        <w:t>nelze učinit kvalifikovaný závěr</w:t>
      </w:r>
      <w:r>
        <w:rPr>
          <w:rFonts w:ascii="Arial" w:eastAsia="Arial" w:hAnsi="Arial" w:cs="Arial"/>
          <w:sz w:val="22"/>
          <w:szCs w:val="22"/>
        </w:rPr>
        <w:t>.</w:t>
      </w:r>
    </w:p>
    <w:p w14:paraId="649E9106" w14:textId="77777777" w:rsidR="00132A4C" w:rsidRDefault="00132A4C">
      <w:pPr>
        <w:shd w:val="clear" w:color="auto" w:fill="FFFFFF"/>
        <w:spacing w:after="0" w:line="240" w:lineRule="auto"/>
        <w:ind w:left="284" w:hanging="284"/>
        <w:rPr>
          <w:rFonts w:ascii="Arial" w:eastAsia="Arial" w:hAnsi="Arial" w:cs="Arial"/>
          <w:sz w:val="22"/>
          <w:szCs w:val="22"/>
        </w:rPr>
      </w:pPr>
    </w:p>
    <w:p w14:paraId="322E78B5" w14:textId="77777777" w:rsidR="00132A4C" w:rsidRDefault="00132A4C">
      <w:pPr>
        <w:shd w:val="clear" w:color="auto" w:fill="FFFFFF"/>
        <w:spacing w:after="0" w:line="240" w:lineRule="auto"/>
        <w:ind w:left="284" w:hanging="284"/>
        <w:rPr>
          <w:rFonts w:ascii="Arial" w:eastAsia="Arial" w:hAnsi="Arial" w:cs="Arial"/>
          <w:sz w:val="22"/>
          <w:szCs w:val="22"/>
        </w:rPr>
      </w:pPr>
    </w:p>
    <w:p w14:paraId="3BD99650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V. Narušení krajiny a životního prostředí</w:t>
      </w:r>
    </w:p>
    <w:p w14:paraId="25685DBF" w14:textId="77777777" w:rsidR="00132A4C" w:rsidRDefault="00000000">
      <w:pPr>
        <w:shd w:val="clear" w:color="auto" w:fill="FFFFFF"/>
        <w:spacing w:line="240" w:lineRule="auto"/>
        <w:ind w:left="284" w:hanging="2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Navržené řešení povede k:</w:t>
      </w:r>
    </w:p>
    <w:p w14:paraId="2FE12455" w14:textId="77777777" w:rsidR="00132A4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zásadní změně krajinného rázu</w:t>
      </w:r>
    </w:p>
    <w:p w14:paraId="6B3B9057" w14:textId="77777777" w:rsidR="00132A4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narušení horizontů a dálkových pohledů</w:t>
      </w:r>
    </w:p>
    <w:p w14:paraId="671D5409" w14:textId="77777777" w:rsidR="00132A4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vzniku bariér v krajině</w:t>
      </w:r>
    </w:p>
    <w:p w14:paraId="6B2DD5FA" w14:textId="77777777" w:rsidR="00132A4C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narušení ekologické konektivity</w:t>
      </w:r>
    </w:p>
    <w:p w14:paraId="5876C98F" w14:textId="77777777" w:rsidR="00132A4C" w:rsidRDefault="00000000">
      <w:pPr>
        <w:shd w:val="clear" w:color="auto" w:fill="FFFFFF"/>
        <w:spacing w:after="0" w:line="240" w:lineRule="auto"/>
        <w:ind w:left="284" w:hanging="2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Výška staveb (200 m a vyšší) </w:t>
      </w:r>
      <w:r>
        <w:rPr>
          <w:rFonts w:ascii="Arial" w:eastAsia="Arial" w:hAnsi="Arial" w:cs="Arial"/>
          <w:b/>
          <w:bCs/>
          <w:sz w:val="22"/>
          <w:szCs w:val="22"/>
        </w:rPr>
        <w:t>znamená nadregionální dopad</w:t>
      </w:r>
      <w:r>
        <w:rPr>
          <w:rFonts w:ascii="Arial" w:eastAsia="Arial" w:hAnsi="Arial" w:cs="Arial"/>
          <w:sz w:val="22"/>
          <w:szCs w:val="22"/>
        </w:rPr>
        <w:t>.</w:t>
      </w:r>
    </w:p>
    <w:p w14:paraId="601F68F6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300A826E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1E3A805E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VI. Dopady na obyvatele</w:t>
      </w:r>
    </w:p>
    <w:p w14:paraId="455B57C9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Návrh nedostatečně řeší negativní vliv na:</w:t>
      </w:r>
    </w:p>
    <w:p w14:paraId="5C43985A" w14:textId="77777777" w:rsidR="00132A4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hluk a nízkofrekvenční hluk</w:t>
      </w:r>
    </w:p>
    <w:p w14:paraId="2838A8D6" w14:textId="77777777" w:rsidR="00132A4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stroboskopický efekt</w:t>
      </w:r>
    </w:p>
    <w:p w14:paraId="20B1E20D" w14:textId="77777777" w:rsidR="00132A4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světelné zatížení</w:t>
      </w:r>
    </w:p>
    <w:p w14:paraId="6339CB10" w14:textId="77777777" w:rsidR="00132A4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kvalitu bydlení</w:t>
      </w:r>
    </w:p>
    <w:p w14:paraId="3B300373" w14:textId="77777777" w:rsidR="00132A4C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hodnotu nemovitostí</w:t>
      </w:r>
    </w:p>
    <w:p w14:paraId="3C011610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Tyto </w:t>
      </w:r>
      <w:r>
        <w:rPr>
          <w:rFonts w:ascii="Arial" w:eastAsia="Arial" w:hAnsi="Arial" w:cs="Arial"/>
          <w:b/>
          <w:bCs/>
          <w:sz w:val="22"/>
          <w:szCs w:val="22"/>
        </w:rPr>
        <w:t>vlivy nejsou řádně vyhodnoceny.</w:t>
      </w:r>
    </w:p>
    <w:p w14:paraId="10B84200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07C8B9D8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3A8E3DA7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VII. Kumulativní a systémové dopady</w:t>
      </w:r>
    </w:p>
    <w:p w14:paraId="7DE0139E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Není řešeno:</w:t>
      </w:r>
    </w:p>
    <w:p w14:paraId="185DA071" w14:textId="77777777" w:rsidR="00132A4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souběžné působení více projektů</w:t>
      </w:r>
    </w:p>
    <w:p w14:paraId="5AE0D542" w14:textId="77777777" w:rsidR="00132A4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celkové zatížení území</w:t>
      </w:r>
    </w:p>
    <w:p w14:paraId="7E622661" w14:textId="77777777" w:rsidR="00132A4C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284" w:hanging="284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únosnost krajiny</w:t>
      </w:r>
    </w:p>
    <w:p w14:paraId="16675C8A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Hrozí </w:t>
      </w:r>
      <w:r>
        <w:rPr>
          <w:rFonts w:ascii="Arial" w:eastAsia="Arial" w:hAnsi="Arial" w:cs="Arial"/>
          <w:b/>
          <w:bCs/>
          <w:sz w:val="22"/>
          <w:szCs w:val="22"/>
        </w:rPr>
        <w:t>nevratná degradace území</w:t>
      </w:r>
      <w:r>
        <w:rPr>
          <w:rFonts w:ascii="Arial" w:eastAsia="Arial" w:hAnsi="Arial" w:cs="Arial"/>
          <w:sz w:val="22"/>
          <w:szCs w:val="22"/>
        </w:rPr>
        <w:t>.</w:t>
      </w:r>
    </w:p>
    <w:p w14:paraId="1655D302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758CA208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2F30F07D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VIII. Absence variantního řešení</w:t>
      </w:r>
    </w:p>
    <w:p w14:paraId="0386AE53" w14:textId="77777777" w:rsidR="00132A4C" w:rsidRDefault="00000000">
      <w:pPr>
        <w:shd w:val="clear" w:color="auto" w:fill="FFFFFF"/>
        <w:spacing w:after="0"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Není doloženo, že byly posuzovány jiné lokality a méně konfliktní varianty, jedná se o porušení základního principu plánování.</w:t>
      </w:r>
    </w:p>
    <w:p w14:paraId="5FB29C3B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lastRenderedPageBreak/>
        <w:t>IX. Hlavní požadavek</w:t>
      </w:r>
    </w:p>
    <w:p w14:paraId="6220692F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Požaduji:</w:t>
      </w:r>
    </w:p>
    <w:p w14:paraId="1070238B" w14:textId="77777777" w:rsidR="00132A4C" w:rsidRDefault="00000000">
      <w:pPr>
        <w:shd w:val="clear" w:color="auto" w:fill="FFFFFF"/>
        <w:spacing w:line="240" w:lineRule="auto"/>
        <w:ind w:left="284" w:hanging="2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1) </w:t>
      </w:r>
      <w:r>
        <w:rPr>
          <w:rFonts w:ascii="Arial" w:eastAsia="Arial" w:hAnsi="Arial" w:cs="Arial"/>
          <w:b/>
          <w:bCs/>
          <w:sz w:val="22"/>
          <w:szCs w:val="22"/>
        </w:rPr>
        <w:t>Vyřazení výše uvedené akcelerační oblasti z návrhu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39103B73" w14:textId="77777777" w:rsidR="00132A4C" w:rsidRDefault="00000000">
      <w:pPr>
        <w:shd w:val="clear" w:color="auto" w:fill="FFFFFF"/>
        <w:spacing w:line="240" w:lineRule="auto"/>
        <w:ind w:left="284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nebo</w:t>
      </w:r>
    </w:p>
    <w:p w14:paraId="3EC58E35" w14:textId="77777777" w:rsidR="00132A4C" w:rsidRDefault="00000000">
      <w:pPr>
        <w:shd w:val="clear" w:color="auto" w:fill="FFFFFF"/>
        <w:spacing w:after="0" w:line="240" w:lineRule="auto"/>
        <w:ind w:left="284" w:hanging="284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2) Zároveň (pro případ, že nebude tomuto požadavku vyhověno) </w:t>
      </w:r>
      <w:r>
        <w:rPr>
          <w:rFonts w:ascii="Arial" w:eastAsia="Arial" w:hAnsi="Arial" w:cs="Arial"/>
          <w:b/>
          <w:bCs/>
          <w:sz w:val="22"/>
          <w:szCs w:val="22"/>
        </w:rPr>
        <w:t>požaduji, aby návrh změny č. 2 ÚRP ČR nebyl v této části schválen a byl vrácen k zásadnímu přepracování</w:t>
      </w:r>
      <w:r>
        <w:rPr>
          <w:rFonts w:ascii="Arial" w:eastAsia="Arial" w:hAnsi="Arial" w:cs="Arial"/>
          <w:sz w:val="22"/>
          <w:szCs w:val="22"/>
        </w:rPr>
        <w:t>, a to zejména po doplnění:</w:t>
      </w:r>
    </w:p>
    <w:p w14:paraId="3BED6284" w14:textId="77777777" w:rsidR="00132A4C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firstLine="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posouzení vlivu na lokality Natura 2000 dle čl. 6 odst. 3 směrnice 92/43/EHS</w:t>
      </w:r>
    </w:p>
    <w:p w14:paraId="1CE944F0" w14:textId="77777777" w:rsidR="00132A4C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firstLine="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dostatečný biologický průzkumu odpovídající metodikám MŽP</w:t>
      </w:r>
    </w:p>
    <w:p w14:paraId="3C065CA4" w14:textId="77777777" w:rsidR="00132A4C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firstLine="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hodnocení vlivu na populace netopýrů</w:t>
      </w:r>
    </w:p>
    <w:p w14:paraId="5B1CD4EC" w14:textId="77777777" w:rsidR="00132A4C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firstLine="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posouzení kumulativních vlivů v širším území</w:t>
      </w:r>
    </w:p>
    <w:p w14:paraId="7C21374D" w14:textId="77777777" w:rsidR="00132A4C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284" w:firstLine="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hodnocení dopadů na krajinný ráz</w:t>
      </w:r>
    </w:p>
    <w:p w14:paraId="21536F73" w14:textId="77777777" w:rsidR="00132A4C" w:rsidRDefault="00000000">
      <w:pPr>
        <w:numPr>
          <w:ilvl w:val="1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284" w:firstLine="0"/>
        <w:rPr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hodnocení dopadů na využití nemovitostí vlastníků v dosahu navrhovaných </w:t>
      </w:r>
      <w:r>
        <w:rPr>
          <w:rFonts w:ascii="Arial" w:eastAsia="Arial" w:hAnsi="Arial" w:cs="Arial"/>
          <w:color w:val="000000"/>
          <w:sz w:val="22"/>
          <w:szCs w:val="22"/>
          <w:highlight w:val="yellow"/>
        </w:rPr>
        <w:t>500 m</w:t>
      </w:r>
      <w:r>
        <w:rPr>
          <w:rFonts w:ascii="Arial" w:eastAsia="Arial" w:hAnsi="Arial" w:cs="Arial"/>
          <w:color w:val="000000"/>
          <w:sz w:val="22"/>
          <w:szCs w:val="22"/>
        </w:rPr>
        <w:t xml:space="preserve"> od obytné zástavby a přímý dopad vymezení AO na výkon vlastnických práv těchto vlastníků  </w:t>
      </w:r>
    </w:p>
    <w:p w14:paraId="18E7469A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Do doby doplnění těchto podkladů nelze území považovat za způsobilé pro vymezení akcelerační oblasti.</w:t>
      </w:r>
    </w:p>
    <w:p w14:paraId="7B8C41C8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4EC48C91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Podané připomínky jsou </w:t>
      </w:r>
      <w:proofErr w:type="spellStart"/>
      <w:r>
        <w:rPr>
          <w:rFonts w:ascii="Arial" w:eastAsia="Arial" w:hAnsi="Arial" w:cs="Arial"/>
          <w:sz w:val="22"/>
          <w:szCs w:val="22"/>
        </w:rPr>
        <w:t>blanketní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, podatel si vymezuje právo připomínky doplnit ve lhůtě 15 dnů ode dne veřejného projednání.     </w:t>
      </w:r>
    </w:p>
    <w:p w14:paraId="65517AB4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01DD380A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</w:p>
    <w:p w14:paraId="1EBB99A6" w14:textId="77777777" w:rsidR="00132A4C" w:rsidRDefault="00000000">
      <w:pPr>
        <w:shd w:val="clear" w:color="auto" w:fill="FFFFFF"/>
        <w:spacing w:line="240" w:lineRule="auto"/>
        <w:rPr>
          <w:rFonts w:ascii="Arial" w:eastAsia="Arial" w:hAnsi="Arial" w:cs="Arial"/>
          <w:b/>
          <w:bCs/>
          <w:u w:val="single"/>
        </w:rPr>
      </w:pPr>
      <w:r>
        <w:rPr>
          <w:rFonts w:ascii="Arial" w:eastAsia="Arial" w:hAnsi="Arial" w:cs="Arial"/>
          <w:b/>
          <w:bCs/>
          <w:u w:val="single"/>
        </w:rPr>
        <w:t>X. Závěr</w:t>
      </w:r>
    </w:p>
    <w:p w14:paraId="1E0229C2" w14:textId="1E62A889" w:rsidR="00132A4C" w:rsidRDefault="00000000">
      <w:pPr>
        <w:shd w:val="clear" w:color="auto" w:fill="FFFFFF"/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Návrh v předložené podobě není dostatečně odůvodněný, není podložen odbornými daty, je v rozporu s právními předpisy ČR i EU a může mít závažné dopady na krajinu, životní prostředí i obyvatele, proto požaduji vyřazení Územního </w:t>
      </w:r>
      <w:r w:rsidRPr="00E546E3">
        <w:rPr>
          <w:rFonts w:ascii="Arial" w:eastAsia="Arial" w:hAnsi="Arial" w:cs="Arial"/>
          <w:sz w:val="22"/>
          <w:szCs w:val="22"/>
        </w:rPr>
        <w:t>opatření k</w:t>
      </w:r>
      <w:r w:rsidR="00E546E3" w:rsidRPr="00E546E3">
        <w:rPr>
          <w:rFonts w:ascii="Arial" w:eastAsia="Arial" w:hAnsi="Arial" w:cs="Arial"/>
          <w:sz w:val="22"/>
          <w:szCs w:val="22"/>
        </w:rPr>
        <w:t> </w:t>
      </w:r>
      <w:r w:rsidRPr="00E546E3">
        <w:rPr>
          <w:rFonts w:ascii="Arial" w:eastAsia="Arial" w:hAnsi="Arial" w:cs="Arial"/>
          <w:b/>
          <w:bCs/>
          <w:sz w:val="22"/>
          <w:szCs w:val="22"/>
        </w:rPr>
        <w:t>AO</w:t>
      </w:r>
      <w:r w:rsidR="00E546E3" w:rsidRPr="00E546E3">
        <w:rPr>
          <w:rFonts w:ascii="Arial" w:eastAsia="Arial" w:hAnsi="Arial" w:cs="Arial"/>
          <w:b/>
          <w:bCs/>
          <w:sz w:val="22"/>
          <w:szCs w:val="22"/>
        </w:rPr>
        <w:t>S3</w:t>
      </w:r>
      <w:r w:rsidR="00E546E3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z Návrhu Změny č. 2 Územního rozvojového plánu </w:t>
      </w:r>
      <w:r>
        <w:rPr>
          <w:rFonts w:ascii="Arial" w:eastAsia="Arial" w:hAnsi="Arial" w:cs="Arial"/>
        </w:rPr>
        <w:t xml:space="preserve">ČR </w:t>
      </w:r>
      <w:r>
        <w:rPr>
          <w:rFonts w:ascii="Arial" w:eastAsia="Arial" w:hAnsi="Arial" w:cs="Arial"/>
          <w:sz w:val="22"/>
          <w:szCs w:val="22"/>
        </w:rPr>
        <w:t>nebo jeho zásadní přepracování.</w:t>
      </w:r>
    </w:p>
    <w:p w14:paraId="5408C7A6" w14:textId="77777777" w:rsidR="00132A4C" w:rsidRDefault="00000000">
      <w:pPr>
        <w:shd w:val="clear" w:color="auto" w:fill="FFFFFF"/>
        <w:spacing w:line="240" w:lineRule="auto"/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Žádám, aby tato připomínka byla řádně vypořádána v souladu se zákonem a aby bylo uvedeno konkrétní odůvodnění přijatého řešení.</w:t>
      </w:r>
    </w:p>
    <w:p w14:paraId="6FE012C7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S pozdravem,</w:t>
      </w:r>
    </w:p>
    <w:p w14:paraId="023D5694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062F3007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5B52423A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DC3990D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V ……</w:t>
      </w:r>
      <w:proofErr w:type="gramStart"/>
      <w:r>
        <w:rPr>
          <w:rFonts w:ascii="Arial" w:eastAsia="Arial" w:hAnsi="Arial" w:cs="Arial"/>
          <w:color w:val="000000"/>
          <w:sz w:val="22"/>
          <w:szCs w:val="22"/>
        </w:rPr>
        <w:t>…….</w:t>
      </w:r>
      <w:proofErr w:type="gramEnd"/>
      <w:r>
        <w:rPr>
          <w:rFonts w:ascii="Arial" w:eastAsia="Arial" w:hAnsi="Arial" w:cs="Arial"/>
          <w:color w:val="000000"/>
          <w:sz w:val="22"/>
          <w:szCs w:val="22"/>
        </w:rPr>
        <w:t>. dne ……………</w:t>
      </w:r>
    </w:p>
    <w:p w14:paraId="53D39184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682504A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004F10D6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4458F39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2B94615D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766804F9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………………………………..</w:t>
      </w:r>
    </w:p>
    <w:p w14:paraId="0F93BCA5" w14:textId="77777777" w:rsidR="00132A4C" w:rsidRDefault="00000000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  <w:r>
        <w:rPr>
          <w:rFonts w:ascii="Arial" w:eastAsia="Arial" w:hAnsi="Arial" w:cs="Arial"/>
          <w:color w:val="000000"/>
          <w:sz w:val="22"/>
          <w:szCs w:val="22"/>
        </w:rPr>
        <w:t>Jméno, Příjmení a podpis</w:t>
      </w:r>
    </w:p>
    <w:p w14:paraId="31B8C6E8" w14:textId="77777777" w:rsidR="00132A4C" w:rsidRDefault="00132A4C">
      <w:pPr>
        <w:shd w:val="clear" w:color="auto" w:fill="FFFFFF"/>
        <w:spacing w:after="0" w:line="240" w:lineRule="auto"/>
        <w:rPr>
          <w:rFonts w:ascii="Arial" w:eastAsia="Arial" w:hAnsi="Arial" w:cs="Arial"/>
          <w:color w:val="000000"/>
          <w:sz w:val="22"/>
          <w:szCs w:val="22"/>
        </w:rPr>
      </w:pPr>
    </w:p>
    <w:p w14:paraId="18B37844" w14:textId="77777777" w:rsidR="00132A4C" w:rsidRDefault="00132A4C">
      <w:pPr>
        <w:rPr>
          <w:rFonts w:ascii="Arial" w:eastAsia="Arial" w:hAnsi="Arial" w:cs="Arial"/>
          <w:sz w:val="22"/>
          <w:szCs w:val="22"/>
        </w:rPr>
      </w:pPr>
    </w:p>
    <w:sectPr w:rsidR="00132A4C">
      <w:footerReference w:type="default" r:id="rId8"/>
      <w:pgSz w:w="11906" w:h="16838"/>
      <w:pgMar w:top="1440" w:right="1080" w:bottom="1440" w:left="108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631FD0" w14:textId="77777777" w:rsidR="00A43F15" w:rsidRDefault="00A43F15">
      <w:pPr>
        <w:spacing w:after="0" w:line="240" w:lineRule="auto"/>
      </w:pPr>
      <w:r>
        <w:separator/>
      </w:r>
    </w:p>
  </w:endnote>
  <w:endnote w:type="continuationSeparator" w:id="0">
    <w:p w14:paraId="4AA30AB7" w14:textId="77777777" w:rsidR="00A43F15" w:rsidRDefault="00A43F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1" w:fontKey="{2D5EBF5D-D267-43AC-8DFB-B3B1BE0D8032}"/>
    <w:embedItalic r:id="rId2" w:fontKey="{DB6B01BD-46AC-4E31-BE50-4CF4B839FE6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  <w:embedRegular r:id="rId3" w:fontKey="{D5D82B71-7942-46AF-B734-38276B25489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4" w:subsetted="1" w:fontKey="{68AA1F90-A09D-4C9C-8E1D-7C8429DCF9DE}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  <w:embedRegular r:id="rId5" w:fontKey="{576F33E6-6F3E-4191-AB8F-BAE94F453FD4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A0DED" w14:textId="77777777" w:rsidR="00132A4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D649E6">
      <w:rPr>
        <w:noProof/>
        <w:color w:val="000000"/>
      </w:rPr>
      <w:t>1</w:t>
    </w:r>
    <w:r>
      <w:rPr>
        <w:color w:val="000000"/>
      </w:rPr>
      <w:fldChar w:fldCharType="end"/>
    </w:r>
  </w:p>
  <w:p w14:paraId="524503C1" w14:textId="77777777" w:rsidR="00132A4C" w:rsidRDefault="00132A4C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B13728" w14:textId="77777777" w:rsidR="00A43F15" w:rsidRDefault="00A43F15">
      <w:pPr>
        <w:spacing w:after="0" w:line="240" w:lineRule="auto"/>
      </w:pPr>
      <w:r>
        <w:separator/>
      </w:r>
    </w:p>
  </w:footnote>
  <w:footnote w:type="continuationSeparator" w:id="0">
    <w:p w14:paraId="5663ADF1" w14:textId="77777777" w:rsidR="00A43F15" w:rsidRDefault="00A43F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B6330"/>
    <w:multiLevelType w:val="multilevel"/>
    <w:tmpl w:val="CC5EDDD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B4238EA"/>
    <w:multiLevelType w:val="multilevel"/>
    <w:tmpl w:val="6632EFF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5F82100"/>
    <w:multiLevelType w:val="multilevel"/>
    <w:tmpl w:val="4FE0D50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6E40E5C"/>
    <w:multiLevelType w:val="multilevel"/>
    <w:tmpl w:val="09DEF4E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C262FED"/>
    <w:multiLevelType w:val="multilevel"/>
    <w:tmpl w:val="91061640"/>
    <w:lvl w:ilvl="0">
      <w:start w:val="1"/>
      <w:numFmt w:val="decimal"/>
      <w:lvlText w:val="%1)"/>
      <w:lvlJc w:val="left"/>
      <w:pPr>
        <w:ind w:left="720" w:hanging="360"/>
      </w:pPr>
      <w:rPr>
        <w:b/>
        <w:bCs/>
      </w:rPr>
    </w:lvl>
    <w:lvl w:ilvl="1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9E0274"/>
    <w:multiLevelType w:val="multilevel"/>
    <w:tmpl w:val="D60E8FE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56653B99"/>
    <w:multiLevelType w:val="multilevel"/>
    <w:tmpl w:val="546C356C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5BF05F46"/>
    <w:multiLevelType w:val="multilevel"/>
    <w:tmpl w:val="95544A5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5D9F7316"/>
    <w:multiLevelType w:val="multilevel"/>
    <w:tmpl w:val="B096DDE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C530B4B"/>
    <w:multiLevelType w:val="multilevel"/>
    <w:tmpl w:val="DFFE9086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70C04B43"/>
    <w:multiLevelType w:val="multilevel"/>
    <w:tmpl w:val="10C0E88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7E803F7A"/>
    <w:multiLevelType w:val="multilevel"/>
    <w:tmpl w:val="F63CFB9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8090492">
    <w:abstractNumId w:val="5"/>
  </w:num>
  <w:num w:numId="2" w16cid:durableId="1751733059">
    <w:abstractNumId w:val="10"/>
  </w:num>
  <w:num w:numId="3" w16cid:durableId="1490098919">
    <w:abstractNumId w:val="6"/>
  </w:num>
  <w:num w:numId="4" w16cid:durableId="1493914387">
    <w:abstractNumId w:val="4"/>
  </w:num>
  <w:num w:numId="5" w16cid:durableId="463353442">
    <w:abstractNumId w:val="11"/>
  </w:num>
  <w:num w:numId="6" w16cid:durableId="757410329">
    <w:abstractNumId w:val="7"/>
  </w:num>
  <w:num w:numId="7" w16cid:durableId="1293631391">
    <w:abstractNumId w:val="2"/>
  </w:num>
  <w:num w:numId="8" w16cid:durableId="1949584909">
    <w:abstractNumId w:val="3"/>
  </w:num>
  <w:num w:numId="9" w16cid:durableId="1557624437">
    <w:abstractNumId w:val="0"/>
  </w:num>
  <w:num w:numId="10" w16cid:durableId="188833044">
    <w:abstractNumId w:val="1"/>
  </w:num>
  <w:num w:numId="11" w16cid:durableId="351614286">
    <w:abstractNumId w:val="8"/>
  </w:num>
  <w:num w:numId="12" w16cid:durableId="167398995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2A4C"/>
    <w:rsid w:val="00132A4C"/>
    <w:rsid w:val="00A43F15"/>
    <w:rsid w:val="00C61170"/>
    <w:rsid w:val="00D649E6"/>
    <w:rsid w:val="00E54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F3A2C"/>
  <w15:docId w15:val="{CBC7B176-F426-4D35-A6CC-B83B34A32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cs" w:eastAsia="cs-CZ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spacing w:after="80" w:line="240" w:lineRule="auto"/>
    </w:pPr>
    <w:rPr>
      <w:sz w:val="56"/>
      <w:szCs w:val="56"/>
    </w:rPr>
  </w:style>
  <w:style w:type="paragraph" w:styleId="Podnadpis">
    <w:name w:val="Subtitle"/>
    <w:basedOn w:val="Normln"/>
    <w:next w:val="Normln"/>
    <w:uiPriority w:val="11"/>
    <w:qFormat/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odatelna@mmr.gov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882</Words>
  <Characters>5210</Characters>
  <Application>Microsoft Office Word</Application>
  <DocSecurity>0</DocSecurity>
  <Lines>43</Lines>
  <Paragraphs>12</Paragraphs>
  <ScaleCrop>false</ScaleCrop>
  <Company/>
  <LinksUpToDate>false</LinksUpToDate>
  <CharactersWithSpaces>6080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Ivana Skypalová</dc:creator>
  <cp:lastModifiedBy>Ivana Skypalová</cp:lastModifiedBy>
  <cp:revision>3</cp:revision>
  <dcterms:created xsi:type="dcterms:W3CDTF">2026-04-25T18:51:00Z</dcterms:created>
  <dcterms:modified xsi:type="dcterms:W3CDTF">2026-04-25T18:56:00Z</dcterms:modified>
</cp:coreProperties>
</file>