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F90809" w:rsidRDefault="00000000">
      <w:pPr>
        <w:spacing w:after="0"/>
        <w:rPr>
          <w:rFonts w:ascii="Arial" w:eastAsia="Arial" w:hAnsi="Arial" w:cs="Arial"/>
          <w:i/>
          <w:iCs/>
          <w:u w:val="single"/>
        </w:rPr>
      </w:pPr>
      <w:r>
        <w:rPr>
          <w:rFonts w:ascii="Arial" w:eastAsia="Arial" w:hAnsi="Arial" w:cs="Arial"/>
          <w:i/>
          <w:iCs/>
          <w:u w:val="single"/>
        </w:rPr>
        <w:t>Adresát:</w:t>
      </w:r>
    </w:p>
    <w:p w14:paraId="00000002" w14:textId="77777777" w:rsidR="00F90809" w:rsidRDefault="00000000">
      <w:pPr>
        <w:spacing w:after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Ministerstvo pro místní rozvoj ČR</w:t>
      </w:r>
    </w:p>
    <w:p w14:paraId="00000003" w14:textId="77777777" w:rsidR="00F90809" w:rsidRDefault="00000000">
      <w:pPr>
        <w:spacing w:after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k rukám Odboru územního plánování</w:t>
      </w:r>
    </w:p>
    <w:p w14:paraId="00000004" w14:textId="77777777" w:rsidR="00F90809" w:rsidRDefault="00000000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Staroměstské náměstí 6, 110 00, Praha 1</w:t>
      </w:r>
    </w:p>
    <w:p w14:paraId="00000005" w14:textId="77777777" w:rsidR="00F90809" w:rsidRDefault="00000000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ID DS: 26iaava, E-mail: podatelna@mmr.gov.cz</w:t>
      </w:r>
    </w:p>
    <w:p w14:paraId="00000006" w14:textId="77777777" w:rsidR="00F90809" w:rsidRDefault="00F90809">
      <w:pPr>
        <w:spacing w:after="0"/>
        <w:rPr>
          <w:rFonts w:ascii="Arial" w:eastAsia="Arial" w:hAnsi="Arial" w:cs="Arial"/>
        </w:rPr>
      </w:pPr>
    </w:p>
    <w:p w14:paraId="00000007" w14:textId="77777777" w:rsidR="00F90809" w:rsidRDefault="00000000">
      <w:pPr>
        <w:spacing w:after="0"/>
        <w:rPr>
          <w:rFonts w:ascii="Arial" w:eastAsia="Arial" w:hAnsi="Arial" w:cs="Arial"/>
          <w:i/>
          <w:iCs/>
          <w:u w:val="single"/>
        </w:rPr>
      </w:pPr>
      <w:r>
        <w:rPr>
          <w:rFonts w:ascii="Arial" w:eastAsia="Arial" w:hAnsi="Arial" w:cs="Arial"/>
          <w:i/>
          <w:iCs/>
          <w:u w:val="single"/>
        </w:rPr>
        <w:t>Podatel:</w:t>
      </w:r>
    </w:p>
    <w:p w14:paraId="00000008" w14:textId="77777777" w:rsidR="00F90809" w:rsidRDefault="00000000">
      <w:pPr>
        <w:spacing w:after="0" w:line="48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Jméno a příjmení: ..............................................................</w:t>
      </w:r>
    </w:p>
    <w:p w14:paraId="00000009" w14:textId="77777777" w:rsidR="00F90809" w:rsidRDefault="00000000">
      <w:pPr>
        <w:spacing w:after="0" w:line="48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Adresa: ...............................................................................</w:t>
      </w:r>
    </w:p>
    <w:p w14:paraId="0000000A" w14:textId="77777777" w:rsidR="00F90809" w:rsidRDefault="00000000">
      <w:pPr>
        <w:spacing w:after="0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PŘIPOMÍNKY K:</w:t>
      </w:r>
    </w:p>
    <w:p w14:paraId="0000000B" w14:textId="77777777" w:rsidR="00F90809" w:rsidRDefault="00000000">
      <w:pPr>
        <w:spacing w:after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I. návrhu Změny č. 2 Územního rozvojového plánu ČR (ÚRP ČR)</w:t>
      </w:r>
    </w:p>
    <w:p w14:paraId="0000000C" w14:textId="77777777" w:rsidR="00F90809" w:rsidRDefault="00000000">
      <w:pPr>
        <w:spacing w:after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II. Vyhodnocení vlivů návrhu Změny č. 2 ÚRP na udržitelný rozvoj území (SEA)</w:t>
      </w:r>
    </w:p>
    <w:p w14:paraId="0000000D" w14:textId="77777777" w:rsidR="00F90809" w:rsidRDefault="00000000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III. návrhům jednotlivých územních opatření pro akcelerační oblasti (AO) vymezeným v návrhu Změny č. 2 ÚRP</w:t>
      </w:r>
    </w:p>
    <w:p w14:paraId="0000000E" w14:textId="77777777" w:rsidR="00F90809" w:rsidRDefault="00000000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Tímto podávám připomínku k návrhu vymezení akceleračních oblastí pro větrné elektrárny (VTE).</w:t>
      </w:r>
    </w:p>
    <w:p w14:paraId="0000000F" w14:textId="77777777" w:rsidR="00F90809" w:rsidRDefault="00000000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Na základě níže uvedených důvodů nesouhlasím s návrhem změny č. 2 ÚRP ČR, Vyhodnocení vlivů návrhu Změny č. 2 ÚRP na udržitelný rozvoj území (SEA) a návrhům jednotlivých územních opatření pro akcelerační oblasti (AO) vymezeným v návrhu Změny č. 2 ÚRP. Veškeré níže uvedené připomínky se vztahují současně ke všem výše uvedeným projednávaným částem veřejné vyhlášky.</w:t>
      </w:r>
    </w:p>
    <w:p w14:paraId="00000010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11" w14:textId="77777777" w:rsidR="00F90809" w:rsidRDefault="00000000">
      <w:pPr>
        <w:spacing w:line="240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  <w:r>
        <w:rPr>
          <w:rFonts w:ascii="Arial" w:eastAsia="Arial" w:hAnsi="Arial" w:cs="Arial"/>
          <w:b/>
          <w:bCs/>
          <w:sz w:val="24"/>
          <w:szCs w:val="24"/>
          <w:u w:val="single"/>
        </w:rPr>
        <w:t>A. Nedostatky návrhu</w:t>
      </w:r>
    </w:p>
    <w:p w14:paraId="00000012" w14:textId="77777777" w:rsidR="00F90809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návrh není dostatečně odůvodněn a </w:t>
      </w:r>
      <w:r>
        <w:rPr>
          <w:rFonts w:ascii="Arial" w:eastAsia="Arial" w:hAnsi="Arial" w:cs="Arial"/>
          <w:b/>
          <w:bCs/>
          <w:color w:val="000000"/>
        </w:rPr>
        <w:t>chybí konkrétní podklady</w:t>
      </w:r>
      <w:r>
        <w:rPr>
          <w:rFonts w:ascii="Arial" w:eastAsia="Arial" w:hAnsi="Arial" w:cs="Arial"/>
          <w:color w:val="000000"/>
        </w:rPr>
        <w:t xml:space="preserve"> (zákon č. 500/2004 Sb.)</w:t>
      </w:r>
    </w:p>
    <w:p w14:paraId="00000013" w14:textId="77777777" w:rsidR="00F90809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nebyly dostatečně posouzeny </w:t>
      </w:r>
      <w:r>
        <w:rPr>
          <w:rFonts w:ascii="Arial" w:eastAsia="Arial" w:hAnsi="Arial" w:cs="Arial"/>
          <w:b/>
          <w:bCs/>
          <w:color w:val="000000"/>
        </w:rPr>
        <w:t>dopady na životní prostředí</w:t>
      </w:r>
      <w:r>
        <w:rPr>
          <w:rFonts w:ascii="Arial" w:eastAsia="Arial" w:hAnsi="Arial" w:cs="Arial"/>
          <w:color w:val="000000"/>
        </w:rPr>
        <w:t xml:space="preserve"> (zákon č. 100/2001 Sb.)</w:t>
      </w:r>
    </w:p>
    <w:p w14:paraId="00000014" w14:textId="77777777" w:rsidR="00F90809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hrozí </w:t>
      </w:r>
      <w:r>
        <w:rPr>
          <w:rFonts w:ascii="Arial" w:eastAsia="Arial" w:hAnsi="Arial" w:cs="Arial"/>
          <w:b/>
          <w:bCs/>
          <w:color w:val="000000"/>
        </w:rPr>
        <w:t>narušení krajiny a přírody</w:t>
      </w:r>
      <w:r>
        <w:rPr>
          <w:rFonts w:ascii="Arial" w:eastAsia="Arial" w:hAnsi="Arial" w:cs="Arial"/>
          <w:color w:val="000000"/>
        </w:rPr>
        <w:t xml:space="preserve"> (zákon č. 114/1992 Sb.)</w:t>
      </w:r>
    </w:p>
    <w:p w14:paraId="00000015" w14:textId="77777777" w:rsidR="00F90809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návrh </w:t>
      </w:r>
      <w:r>
        <w:rPr>
          <w:rFonts w:ascii="Arial" w:eastAsia="Arial" w:hAnsi="Arial" w:cs="Arial"/>
          <w:b/>
          <w:bCs/>
          <w:color w:val="000000"/>
        </w:rPr>
        <w:t>nerespektuje ochranu hodnot území a kvalitu bydlení</w:t>
      </w:r>
      <w:r>
        <w:rPr>
          <w:rFonts w:ascii="Arial" w:eastAsia="Arial" w:hAnsi="Arial" w:cs="Arial"/>
          <w:color w:val="000000"/>
        </w:rPr>
        <w:t xml:space="preserve"> (zákon č. 283/2021 Sb.)</w:t>
      </w:r>
    </w:p>
    <w:p w14:paraId="00000016" w14:textId="77777777" w:rsidR="00F90809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nebyly posouzeny jiné </w:t>
      </w:r>
      <w:r>
        <w:rPr>
          <w:rFonts w:ascii="Arial" w:eastAsia="Arial" w:hAnsi="Arial" w:cs="Arial"/>
          <w:b/>
          <w:bCs/>
          <w:color w:val="000000"/>
        </w:rPr>
        <w:t>varianty řešení, zejména využití brownfieldů</w:t>
      </w:r>
      <w:r>
        <w:rPr>
          <w:rFonts w:ascii="Arial" w:eastAsia="Arial" w:hAnsi="Arial" w:cs="Arial"/>
          <w:color w:val="000000"/>
        </w:rPr>
        <w:t xml:space="preserve"> (opuštěných a již narušených ploch) a návrh tak neodůvodněně zasahuje do volné krajiny</w:t>
      </w:r>
    </w:p>
    <w:p w14:paraId="00000017" w14:textId="77777777" w:rsidR="00F90809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vychází </w:t>
      </w:r>
      <w:r>
        <w:rPr>
          <w:rFonts w:ascii="Arial" w:eastAsia="Arial" w:hAnsi="Arial" w:cs="Arial"/>
          <w:b/>
          <w:bCs/>
          <w:color w:val="000000"/>
        </w:rPr>
        <w:t>pouze z expertních odhadů</w:t>
      </w:r>
      <w:r>
        <w:rPr>
          <w:rFonts w:ascii="Arial" w:eastAsia="Arial" w:hAnsi="Arial" w:cs="Arial"/>
          <w:color w:val="000000"/>
        </w:rPr>
        <w:t xml:space="preserve"> (počet věží, výkon, rozmístění)</w:t>
      </w:r>
    </w:p>
    <w:p w14:paraId="00000018" w14:textId="77777777" w:rsidR="00F90809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návrh </w:t>
      </w:r>
      <w:r>
        <w:rPr>
          <w:rFonts w:ascii="Arial" w:eastAsia="Arial" w:hAnsi="Arial" w:cs="Arial"/>
          <w:b/>
          <w:bCs/>
          <w:color w:val="000000"/>
        </w:rPr>
        <w:t>řeší problémy až dodatečně</w:t>
      </w:r>
      <w:r>
        <w:rPr>
          <w:rFonts w:ascii="Arial" w:eastAsia="Arial" w:hAnsi="Arial" w:cs="Arial"/>
          <w:color w:val="000000"/>
        </w:rPr>
        <w:t>, místo aby jim předešel</w:t>
      </w:r>
    </w:p>
    <w:p w14:paraId="00000019" w14:textId="77777777" w:rsidR="00F90809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567" w:hanging="283"/>
        <w:rPr>
          <w:b/>
          <w:bCs/>
          <w:color w:val="000000"/>
        </w:rPr>
      </w:pPr>
      <w:r>
        <w:rPr>
          <w:rFonts w:ascii="Arial" w:eastAsia="Arial" w:hAnsi="Arial" w:cs="Arial"/>
          <w:color w:val="000000"/>
        </w:rPr>
        <w:t>nejsou dostatečně vyhodnoceny</w:t>
      </w:r>
      <w:r>
        <w:rPr>
          <w:rFonts w:ascii="Arial" w:eastAsia="Arial" w:hAnsi="Arial" w:cs="Arial"/>
          <w:b/>
          <w:bCs/>
          <w:color w:val="000000"/>
        </w:rPr>
        <w:t xml:space="preserve"> kumulativní dopady více záměrů v území</w:t>
      </w:r>
    </w:p>
    <w:p w14:paraId="0000001A" w14:textId="77777777" w:rsidR="00F90809" w:rsidRDefault="00000000">
      <w:pPr>
        <w:spacing w:line="240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  <w:r>
        <w:rPr>
          <w:rFonts w:ascii="Arial" w:eastAsia="Arial" w:hAnsi="Arial" w:cs="Arial"/>
          <w:b/>
          <w:bCs/>
          <w:sz w:val="24"/>
          <w:szCs w:val="24"/>
          <w:u w:val="single"/>
        </w:rPr>
        <w:t>B. Příroda, krajina a životní prostředí</w:t>
      </w:r>
    </w:p>
    <w:p w14:paraId="0000001B" w14:textId="77777777" w:rsidR="00F90809" w:rsidRDefault="00000000">
      <w:pPr>
        <w:spacing w:after="0" w:line="24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1. Nedostatečné posouzení vlivů na životní prostředí</w:t>
      </w:r>
    </w:p>
    <w:p w14:paraId="0000001C" w14:textId="77777777" w:rsidR="00F90809" w:rsidRDefault="00000000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výskyt chráněných druhů (ptáci, netopýři) a zásah do migračních tras (vlk, rys apod.)</w:t>
      </w:r>
    </w:p>
    <w:p w14:paraId="0000001D" w14:textId="77777777" w:rsidR="00F90809" w:rsidRDefault="00000000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narušení prvků ÚSES (biokoridory)</w:t>
      </w:r>
    </w:p>
    <w:p w14:paraId="0000001E" w14:textId="77777777" w:rsidR="00F90809" w:rsidRDefault="00000000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zásadní změna krajiny a její industrializace</w:t>
      </w:r>
    </w:p>
    <w:p w14:paraId="0000001F" w14:textId="77777777" w:rsidR="00F90809" w:rsidRDefault="00000000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dominantní stavby (až cca 250 m vysoké) viditelné na velké vzdálenosti</w:t>
      </w:r>
    </w:p>
    <w:p w14:paraId="00000020" w14:textId="77777777" w:rsidR="00F90809" w:rsidRDefault="00000000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chybí posouzení nočního osvětlení</w:t>
      </w:r>
    </w:p>
    <w:p w14:paraId="00000021" w14:textId="77777777" w:rsidR="00F90809" w:rsidRDefault="00000000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nedostatečně řešen kumulativní vliv více větrných elektráren</w:t>
      </w:r>
    </w:p>
    <w:p w14:paraId="00000022" w14:textId="77777777" w:rsidR="00F90809" w:rsidRDefault="00000000">
      <w:pPr>
        <w:spacing w:after="0" w:line="24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2. Nedostatečné posouzení vlivů na vodu a klima</w:t>
      </w:r>
    </w:p>
    <w:p w14:paraId="00000023" w14:textId="77777777" w:rsidR="00F90809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hrozí narušení vsakování vody do půdy a změna odtokových poměrů,</w:t>
      </w:r>
    </w:p>
    <w:p w14:paraId="00000024" w14:textId="77777777" w:rsidR="00F90809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může dojít ke zhoršení schopnosti krajiny zadržovat vodu a riziko vysychání krajiny</w:t>
      </w:r>
    </w:p>
    <w:p w14:paraId="00000025" w14:textId="77777777" w:rsidR="00F90809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chybí posouzení vlivu na mikroklima,</w:t>
      </w:r>
    </w:p>
    <w:p w14:paraId="00000026" w14:textId="77777777" w:rsidR="00F90809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nejsou dostatečně řešeny dopady na vodní režim území.</w:t>
      </w:r>
    </w:p>
    <w:p w14:paraId="00000027" w14:textId="77777777" w:rsidR="00F90809" w:rsidRDefault="00F90809">
      <w:pPr>
        <w:spacing w:after="0" w:line="240" w:lineRule="auto"/>
        <w:rPr>
          <w:rFonts w:ascii="Arial" w:eastAsia="Arial" w:hAnsi="Arial" w:cs="Arial"/>
          <w:b/>
          <w:bCs/>
        </w:rPr>
      </w:pPr>
    </w:p>
    <w:p w14:paraId="00000028" w14:textId="77777777" w:rsidR="00F90809" w:rsidRDefault="00000000">
      <w:pPr>
        <w:spacing w:after="0" w:line="24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lastRenderedPageBreak/>
        <w:t>3. Zemědělská půda</w:t>
      </w:r>
    </w:p>
    <w:p w14:paraId="00000029" w14:textId="77777777" w:rsidR="00F90809" w:rsidRDefault="00000000">
      <w:pPr>
        <w:numPr>
          <w:ilvl w:val="1"/>
          <w:numId w:val="10"/>
        </w:numPr>
        <w:spacing w:after="0" w:line="240" w:lineRule="auto"/>
        <w:ind w:left="567" w:hanging="283"/>
      </w:pPr>
      <w:r>
        <w:rPr>
          <w:rFonts w:ascii="Arial" w:eastAsia="Arial" w:hAnsi="Arial" w:cs="Arial"/>
        </w:rPr>
        <w:t>zábor a znehodnocení kvalitní půdy</w:t>
      </w:r>
    </w:p>
    <w:p w14:paraId="0000002A" w14:textId="77777777" w:rsidR="00F90809" w:rsidRDefault="00000000">
      <w:pPr>
        <w:numPr>
          <w:ilvl w:val="1"/>
          <w:numId w:val="10"/>
        </w:numPr>
        <w:spacing w:after="0" w:line="240" w:lineRule="auto"/>
        <w:ind w:left="567" w:hanging="283"/>
      </w:pPr>
      <w:r>
        <w:rPr>
          <w:rFonts w:ascii="Arial" w:eastAsia="Arial" w:hAnsi="Arial" w:cs="Arial"/>
        </w:rPr>
        <w:t>možné zásahy do půd I. a II. třídy ochrany (nejcennější půdy)</w:t>
      </w:r>
    </w:p>
    <w:p w14:paraId="0000002B" w14:textId="77777777" w:rsidR="00F90809" w:rsidRDefault="00000000">
      <w:pPr>
        <w:numPr>
          <w:ilvl w:val="1"/>
          <w:numId w:val="10"/>
        </w:numPr>
        <w:spacing w:after="0" w:line="240" w:lineRule="auto"/>
        <w:ind w:left="567" w:hanging="283"/>
      </w:pPr>
      <w:r>
        <w:rPr>
          <w:rFonts w:ascii="Arial" w:eastAsia="Arial" w:hAnsi="Arial" w:cs="Arial"/>
        </w:rPr>
        <w:t>zhutnění půdy a zvýšení eroze a fragmentace pozemků</w:t>
      </w:r>
    </w:p>
    <w:p w14:paraId="0000002C" w14:textId="77777777" w:rsidR="00F90809" w:rsidRDefault="00000000">
      <w:pPr>
        <w:numPr>
          <w:ilvl w:val="1"/>
          <w:numId w:val="10"/>
        </w:numPr>
        <w:spacing w:after="0" w:line="240" w:lineRule="auto"/>
        <w:ind w:left="567" w:hanging="283"/>
      </w:pPr>
      <w:r>
        <w:rPr>
          <w:rFonts w:ascii="Arial" w:eastAsia="Arial" w:hAnsi="Arial" w:cs="Arial"/>
        </w:rPr>
        <w:t>nejasný stav a poškození meliorací</w:t>
      </w:r>
    </w:p>
    <w:p w14:paraId="0000002D" w14:textId="77777777" w:rsidR="00F90809" w:rsidRDefault="00F90809">
      <w:pPr>
        <w:spacing w:after="0" w:line="240" w:lineRule="auto"/>
        <w:rPr>
          <w:rFonts w:ascii="Arial" w:eastAsia="Arial" w:hAnsi="Arial" w:cs="Arial"/>
          <w:b/>
          <w:bCs/>
        </w:rPr>
      </w:pPr>
    </w:p>
    <w:p w14:paraId="0000002E" w14:textId="77777777" w:rsidR="00F90809" w:rsidRDefault="00000000">
      <w:pPr>
        <w:spacing w:after="0" w:line="24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4. Nedostatečné posouzení vlivů na obyvatele</w:t>
      </w:r>
    </w:p>
    <w:p w14:paraId="0000002F" w14:textId="77777777" w:rsidR="00F90809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hluk a jeho dlouhodobý vliv nejsou dostatečně vyhodnoceny,</w:t>
      </w:r>
    </w:p>
    <w:p w14:paraId="00000030" w14:textId="77777777" w:rsidR="00F90809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není dostatečně řešen stroboskopický efekt,</w:t>
      </w:r>
    </w:p>
    <w:p w14:paraId="00000031" w14:textId="77777777" w:rsidR="00F90809" w:rsidRDefault="0000000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změna charakteru bydlení,</w:t>
      </w:r>
    </w:p>
    <w:p w14:paraId="00000032" w14:textId="77777777" w:rsidR="00F90809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není dostatečně vysvětlen způsob stanovení vzdálenosti od obytné zástavby,</w:t>
      </w:r>
    </w:p>
    <w:p w14:paraId="00000033" w14:textId="77777777" w:rsidR="00F90809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nebyly dostatečně posouzeny dopady na hodnotu nemovitostí a kvalitu bydlení.</w:t>
      </w:r>
    </w:p>
    <w:p w14:paraId="00000034" w14:textId="77777777" w:rsidR="00F90809" w:rsidRDefault="00000000">
      <w:pPr>
        <w:spacing w:line="240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  <w:r>
        <w:rPr>
          <w:rFonts w:ascii="Arial" w:eastAsia="Arial" w:hAnsi="Arial" w:cs="Arial"/>
          <w:b/>
          <w:bCs/>
          <w:sz w:val="24"/>
          <w:szCs w:val="24"/>
          <w:u w:val="single"/>
        </w:rPr>
        <w:t>C. Technická a bezpečnostní rizika</w:t>
      </w:r>
    </w:p>
    <w:p w14:paraId="00000035" w14:textId="77777777" w:rsidR="00F90809" w:rsidRDefault="00000000">
      <w:pPr>
        <w:spacing w:after="0" w:line="24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1. Nedostatečnost navržených zmírňujících opatření</w:t>
      </w:r>
    </w:p>
    <w:p w14:paraId="00000036" w14:textId="77777777" w:rsidR="00F90809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navržená opatření pouze částečně zmírňují dopady, ale neřeší samotný střet,</w:t>
      </w:r>
    </w:p>
    <w:p w14:paraId="00000037" w14:textId="77777777" w:rsidR="00F90809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řada opatření je formulována neurčitě a bez jasné kontroly jejich plnění,</w:t>
      </w:r>
    </w:p>
    <w:p w14:paraId="00000038" w14:textId="77777777" w:rsidR="00F90809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významné problémy jsou odkládány až do navazujících řízení.</w:t>
      </w:r>
    </w:p>
    <w:p w14:paraId="00000039" w14:textId="77777777" w:rsidR="00F90809" w:rsidRDefault="00000000">
      <w:pPr>
        <w:spacing w:after="0" w:line="24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2. Technická a bezpečnostní rizika</w:t>
      </w:r>
    </w:p>
    <w:p w14:paraId="0000003A" w14:textId="77777777" w:rsidR="00F90809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odlet ledu z rotorů v zimě, požáry zařízení (obtížně zvládnutelné zásahy) a zásah bleskem,</w:t>
      </w:r>
    </w:p>
    <w:p w14:paraId="0000003B" w14:textId="77777777" w:rsidR="00F90809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pád částí konstrukce, únik provozních kapalin,</w:t>
      </w:r>
    </w:p>
    <w:p w14:paraId="0000003C" w14:textId="77777777" w:rsidR="00F90809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kontaminace půdy a vody,</w:t>
      </w:r>
    </w:p>
    <w:p w14:paraId="0000003D" w14:textId="77777777" w:rsidR="00F90809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šíření požáru do krajiny,</w:t>
      </w:r>
    </w:p>
    <w:p w14:paraId="0000003E" w14:textId="77777777" w:rsidR="00F90809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v ČR dosud neexistuje právní ani metodická úprava požární bezpečnosti VTE a nejsou stanoveny konkrétní odstupové vzdálenosti od lesů či obytné zástavby z hlediska požárního rizika,</w:t>
      </w:r>
    </w:p>
    <w:p w14:paraId="0000003F" w14:textId="77777777" w:rsidR="00F90809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567" w:hanging="283"/>
        <w:rPr>
          <w:color w:val="000000"/>
        </w:rPr>
      </w:pPr>
      <w:r>
        <w:rPr>
          <w:rFonts w:ascii="Arial" w:eastAsia="Arial" w:hAnsi="Arial" w:cs="Arial"/>
          <w:color w:val="000000"/>
        </w:rPr>
        <w:t>Ministerstvo dopravy připustilo existenci bezpečnostních rizik spojených s VTE, zejména vizuální distrakce řidičů, stínových efektů, nočního překážkového osvětlení, odletu ledu či havárií a odletu částí konstrukcí.</w:t>
      </w:r>
    </w:p>
    <w:p w14:paraId="00000040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41" w14:textId="77777777" w:rsidR="00F90809" w:rsidRDefault="00000000">
      <w:pPr>
        <w:spacing w:after="0" w:line="24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</w:rPr>
        <w:t xml:space="preserve">Není jasně stanoveno, kdo </w:t>
      </w:r>
      <w:r>
        <w:rPr>
          <w:rFonts w:ascii="Arial" w:eastAsia="Arial" w:hAnsi="Arial" w:cs="Arial"/>
          <w:b/>
          <w:bCs/>
        </w:rPr>
        <w:t>ponese odpovědnost za případné škody na zdraví, majetku a životním prostředí.</w:t>
      </w:r>
    </w:p>
    <w:p w14:paraId="00000042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43" w14:textId="77777777" w:rsidR="00F90809" w:rsidRDefault="00000000">
      <w:pPr>
        <w:spacing w:line="240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  <w:r>
        <w:rPr>
          <w:rFonts w:ascii="Arial" w:eastAsia="Arial" w:hAnsi="Arial" w:cs="Arial"/>
          <w:b/>
          <w:bCs/>
          <w:sz w:val="24"/>
          <w:szCs w:val="24"/>
          <w:u w:val="single"/>
        </w:rPr>
        <w:t>D. Specifikace a střety dané akcelerační oblasti</w:t>
      </w:r>
    </w:p>
    <w:p w14:paraId="00000044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45" w14:textId="77777777" w:rsidR="00F90809" w:rsidRDefault="00000000">
      <w:pPr>
        <w:spacing w:after="0" w:line="48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AO č.: .............................................................</w:t>
      </w:r>
    </w:p>
    <w:p w14:paraId="00000046" w14:textId="77777777" w:rsidR="00F90809" w:rsidRDefault="00000000">
      <w:pPr>
        <w:spacing w:after="0" w:line="48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Oblast: .............................................................</w:t>
      </w:r>
    </w:p>
    <w:p w14:paraId="00000047" w14:textId="77777777" w:rsidR="00F90809" w:rsidRDefault="00000000">
      <w:pPr>
        <w:spacing w:after="0" w:line="48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Kraj: .................................................................</w:t>
      </w:r>
    </w:p>
    <w:p w14:paraId="00000048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49" w14:textId="77777777" w:rsidR="00F90809" w:rsidRDefault="00000000">
      <w:pPr>
        <w:spacing w:after="0" w:line="240" w:lineRule="auto"/>
        <w:rPr>
          <w:rFonts w:ascii="Arial" w:eastAsia="Arial" w:hAnsi="Arial" w:cs="Arial"/>
          <w:highlight w:val="yellow"/>
        </w:rPr>
      </w:pPr>
      <w:r>
        <w:rPr>
          <w:rFonts w:ascii="Arial" w:eastAsia="Arial" w:hAnsi="Arial" w:cs="Arial"/>
        </w:rPr>
        <w:t xml:space="preserve">Uvedená akcelerační oblast vykazuje následující možné střety a rizika: </w:t>
      </w:r>
      <w:r>
        <w:rPr>
          <w:rFonts w:ascii="Arial" w:eastAsia="Arial" w:hAnsi="Arial" w:cs="Arial"/>
          <w:highlight w:val="yellow"/>
        </w:rPr>
        <w:t>(doplňte dle odůvodnění AO)</w:t>
      </w:r>
    </w:p>
    <w:p w14:paraId="0000004A" w14:textId="77777777" w:rsidR="00F90809" w:rsidRDefault="00F90809">
      <w:pPr>
        <w:spacing w:after="0" w:line="240" w:lineRule="auto"/>
        <w:rPr>
          <w:rFonts w:ascii="Arial" w:eastAsia="Arial" w:hAnsi="Arial" w:cs="Arial"/>
          <w:highlight w:val="yellow"/>
        </w:rPr>
      </w:pPr>
    </w:p>
    <w:p w14:paraId="0000004B" w14:textId="77777777" w:rsidR="00F90809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  <w:highlight w:val="yellow"/>
        </w:rPr>
      </w:pPr>
      <w:r>
        <w:rPr>
          <w:rFonts w:ascii="Arial" w:eastAsia="Arial" w:hAnsi="Arial" w:cs="Arial"/>
          <w:color w:val="000000"/>
          <w:highlight w:val="yellow"/>
        </w:rPr>
        <w:t>konkrétní dopady na místní krajinu a charakter území,</w:t>
      </w:r>
    </w:p>
    <w:p w14:paraId="0000004C" w14:textId="77777777" w:rsidR="00F90809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  <w:highlight w:val="yellow"/>
        </w:rPr>
      </w:pPr>
      <w:r>
        <w:rPr>
          <w:rFonts w:ascii="Arial" w:eastAsia="Arial" w:hAnsi="Arial" w:cs="Arial"/>
          <w:color w:val="000000"/>
          <w:highlight w:val="yellow"/>
        </w:rPr>
        <w:t>možné střety s ochranou přírody a krajiny,</w:t>
      </w:r>
    </w:p>
    <w:p w14:paraId="0000004D" w14:textId="77777777" w:rsidR="00F90809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  <w:highlight w:val="yellow"/>
        </w:rPr>
      </w:pPr>
      <w:r>
        <w:rPr>
          <w:rFonts w:ascii="Arial" w:eastAsia="Arial" w:hAnsi="Arial" w:cs="Arial"/>
          <w:color w:val="000000"/>
          <w:highlight w:val="yellow"/>
        </w:rPr>
        <w:t>možné zásahy do života obyvatel a kvality bydlení,</w:t>
      </w:r>
    </w:p>
    <w:p w14:paraId="0000004E" w14:textId="77777777" w:rsidR="00F90809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  <w:highlight w:val="yellow"/>
        </w:rPr>
      </w:pPr>
      <w:r>
        <w:rPr>
          <w:rFonts w:ascii="Arial" w:eastAsia="Arial" w:hAnsi="Arial" w:cs="Arial"/>
          <w:color w:val="000000"/>
          <w:highlight w:val="yellow"/>
        </w:rPr>
        <w:t>možné kumulativní dopady s dalšími plánovanými záměry,</w:t>
      </w:r>
    </w:p>
    <w:p w14:paraId="0000004F" w14:textId="77777777" w:rsidR="00F90809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  <w:highlight w:val="yellow"/>
        </w:rPr>
      </w:pPr>
      <w:r>
        <w:rPr>
          <w:rFonts w:ascii="Arial" w:eastAsia="Arial" w:hAnsi="Arial" w:cs="Arial"/>
          <w:color w:val="000000"/>
          <w:highlight w:val="yellow"/>
        </w:rPr>
        <w:t>nedostatečné místní podklady a vyhodnocení.</w:t>
      </w:r>
    </w:p>
    <w:p w14:paraId="00000050" w14:textId="77777777" w:rsidR="00F90809" w:rsidRDefault="00F90809">
      <w:pPr>
        <w:spacing w:after="0" w:line="240" w:lineRule="auto"/>
        <w:rPr>
          <w:rFonts w:ascii="Arial" w:eastAsia="Arial" w:hAnsi="Arial" w:cs="Arial"/>
          <w:highlight w:val="yellow"/>
        </w:rPr>
      </w:pPr>
    </w:p>
    <w:p w14:paraId="00000051" w14:textId="77777777" w:rsidR="00F90809" w:rsidRDefault="00000000">
      <w:pPr>
        <w:spacing w:after="0" w:line="240" w:lineRule="auto"/>
        <w:rPr>
          <w:rFonts w:ascii="Arial" w:eastAsia="Arial" w:hAnsi="Arial" w:cs="Arial"/>
          <w:highlight w:val="yellow"/>
        </w:rPr>
      </w:pPr>
      <w:r>
        <w:rPr>
          <w:rFonts w:ascii="Arial" w:eastAsia="Arial" w:hAnsi="Arial" w:cs="Arial"/>
          <w:highlight w:val="yellow"/>
        </w:rPr>
        <w:t>Do uvedené oblasti mohou zasahovat:</w:t>
      </w:r>
    </w:p>
    <w:p w14:paraId="00000052" w14:textId="77777777" w:rsidR="00F90809" w:rsidRDefault="0000000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  <w:highlight w:val="yellow"/>
        </w:rPr>
      </w:pPr>
      <w:r>
        <w:rPr>
          <w:rFonts w:ascii="Arial" w:eastAsia="Arial" w:hAnsi="Arial" w:cs="Arial"/>
          <w:color w:val="000000"/>
          <w:highlight w:val="yellow"/>
        </w:rPr>
        <w:lastRenderedPageBreak/>
        <w:t>prvky ÚSES,</w:t>
      </w:r>
    </w:p>
    <w:p w14:paraId="00000053" w14:textId="77777777" w:rsidR="00F90809" w:rsidRDefault="0000000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  <w:highlight w:val="yellow"/>
        </w:rPr>
      </w:pPr>
      <w:r>
        <w:rPr>
          <w:rFonts w:ascii="Arial" w:eastAsia="Arial" w:hAnsi="Arial" w:cs="Arial"/>
          <w:color w:val="000000"/>
          <w:highlight w:val="yellow"/>
        </w:rPr>
        <w:t>migrační trasy živočichů,</w:t>
      </w:r>
    </w:p>
    <w:p w14:paraId="00000054" w14:textId="77777777" w:rsidR="00F90809" w:rsidRDefault="0000000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  <w:highlight w:val="yellow"/>
        </w:rPr>
      </w:pPr>
      <w:r>
        <w:rPr>
          <w:rFonts w:ascii="Arial" w:eastAsia="Arial" w:hAnsi="Arial" w:cs="Arial"/>
          <w:color w:val="000000"/>
          <w:highlight w:val="yellow"/>
        </w:rPr>
        <w:t>chráněná území,</w:t>
      </w:r>
    </w:p>
    <w:p w14:paraId="00000055" w14:textId="77777777" w:rsidR="00F90809" w:rsidRDefault="0000000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  <w:highlight w:val="yellow"/>
        </w:rPr>
      </w:pPr>
      <w:r>
        <w:rPr>
          <w:rFonts w:ascii="Arial" w:eastAsia="Arial" w:hAnsi="Arial" w:cs="Arial"/>
          <w:color w:val="000000"/>
          <w:highlight w:val="yellow"/>
        </w:rPr>
        <w:t>evropsky významné lokality (EVL), soustava Natura 2000,</w:t>
      </w:r>
    </w:p>
    <w:p w14:paraId="00000056" w14:textId="77777777" w:rsidR="00F90809" w:rsidRDefault="0000000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  <w:highlight w:val="yellow"/>
        </w:rPr>
      </w:pPr>
      <w:r>
        <w:rPr>
          <w:rFonts w:ascii="Arial" w:eastAsia="Arial" w:hAnsi="Arial" w:cs="Arial"/>
          <w:color w:val="000000"/>
          <w:highlight w:val="yellow"/>
        </w:rPr>
        <w:t>významné krajinné prvky,</w:t>
      </w:r>
    </w:p>
    <w:p w14:paraId="00000057" w14:textId="77777777" w:rsidR="00F90809" w:rsidRDefault="0000000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  <w:highlight w:val="yellow"/>
        </w:rPr>
      </w:pPr>
      <w:r>
        <w:rPr>
          <w:rFonts w:ascii="Arial" w:eastAsia="Arial" w:hAnsi="Arial" w:cs="Arial"/>
          <w:color w:val="000000"/>
          <w:highlight w:val="yellow"/>
        </w:rPr>
        <w:t>kvalitní zemědělská půda,</w:t>
      </w:r>
    </w:p>
    <w:p w14:paraId="00000058" w14:textId="77777777" w:rsidR="00F90809" w:rsidRDefault="0000000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  <w:highlight w:val="yellow"/>
        </w:rPr>
      </w:pPr>
      <w:r>
        <w:rPr>
          <w:rFonts w:ascii="Arial" w:eastAsia="Arial" w:hAnsi="Arial" w:cs="Arial"/>
          <w:color w:val="000000"/>
          <w:highlight w:val="yellow"/>
        </w:rPr>
        <w:t>vodní zdroje,</w:t>
      </w:r>
    </w:p>
    <w:p w14:paraId="00000059" w14:textId="77777777" w:rsidR="00F90809" w:rsidRDefault="0000000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  <w:highlight w:val="yellow"/>
        </w:rPr>
      </w:pPr>
      <w:r>
        <w:rPr>
          <w:rFonts w:ascii="Arial" w:eastAsia="Arial" w:hAnsi="Arial" w:cs="Arial"/>
          <w:color w:val="000000"/>
          <w:highlight w:val="yellow"/>
        </w:rPr>
        <w:t>krajinný ráz,</w:t>
      </w:r>
    </w:p>
    <w:p w14:paraId="0000005A" w14:textId="77777777" w:rsidR="00F90809" w:rsidRDefault="0000000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  <w:highlight w:val="yellow"/>
        </w:rPr>
      </w:pPr>
      <w:r>
        <w:rPr>
          <w:rFonts w:ascii="Arial" w:eastAsia="Arial" w:hAnsi="Arial" w:cs="Arial"/>
          <w:color w:val="000000"/>
          <w:highlight w:val="yellow"/>
        </w:rPr>
        <w:t>kulturní a historické hodnoty území,</w:t>
      </w:r>
    </w:p>
    <w:p w14:paraId="0000005B" w14:textId="77777777" w:rsidR="00F90809" w:rsidRDefault="0000000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  <w:highlight w:val="yellow"/>
        </w:rPr>
      </w:pPr>
      <w:r>
        <w:rPr>
          <w:rFonts w:ascii="Arial" w:eastAsia="Arial" w:hAnsi="Arial" w:cs="Arial"/>
          <w:color w:val="000000"/>
          <w:highlight w:val="yellow"/>
        </w:rPr>
        <w:t>ochranná pásma národních kulturních památek,</w:t>
      </w:r>
    </w:p>
    <w:p w14:paraId="0000005C" w14:textId="77777777" w:rsidR="00F90809" w:rsidRDefault="0000000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  <w:highlight w:val="yellow"/>
        </w:rPr>
      </w:pPr>
      <w:r>
        <w:rPr>
          <w:rFonts w:ascii="Arial" w:eastAsia="Arial" w:hAnsi="Arial" w:cs="Arial"/>
          <w:color w:val="000000"/>
          <w:highlight w:val="yellow"/>
        </w:rPr>
        <w:t>ochranná pásma UNESCO.</w:t>
      </w:r>
    </w:p>
    <w:p w14:paraId="0000005D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5E" w14:textId="77777777" w:rsidR="00F90809" w:rsidRDefault="00000000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Požaduji důsledné přehodnocení navržené akcelerační oblasti a její vyloučení z návrhu změny č. 2 ÚRP.</w:t>
      </w:r>
    </w:p>
    <w:p w14:paraId="0000005F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60" w14:textId="77777777" w:rsidR="00F90809" w:rsidRDefault="00000000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  <w:r>
        <w:rPr>
          <w:rFonts w:ascii="Arial" w:eastAsia="Arial" w:hAnsi="Arial" w:cs="Arial"/>
          <w:b/>
          <w:bCs/>
          <w:sz w:val="24"/>
          <w:szCs w:val="24"/>
          <w:u w:val="single"/>
        </w:rPr>
        <w:t>E. Rozpor se zákony a právními předpisy ČR a EU</w:t>
      </w:r>
    </w:p>
    <w:p w14:paraId="00000061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62" w14:textId="77777777" w:rsidR="00F90809" w:rsidRDefault="00000000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Návrh může být v rozporu zejména s:</w:t>
      </w:r>
    </w:p>
    <w:p w14:paraId="00000063" w14:textId="77777777" w:rsidR="00F90809" w:rsidRDefault="00000000">
      <w:pPr>
        <w:numPr>
          <w:ilvl w:val="2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</w:rPr>
      </w:pPr>
      <w:r>
        <w:rPr>
          <w:rFonts w:ascii="Arial" w:eastAsia="Arial" w:hAnsi="Arial" w:cs="Arial"/>
          <w:color w:val="000000"/>
        </w:rPr>
        <w:t>zákonem č. 500/2004 Sb., správní řád,</w:t>
      </w:r>
    </w:p>
    <w:p w14:paraId="00000064" w14:textId="77777777" w:rsidR="00F90809" w:rsidRDefault="00000000">
      <w:pPr>
        <w:numPr>
          <w:ilvl w:val="2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</w:rPr>
      </w:pPr>
      <w:r>
        <w:rPr>
          <w:rFonts w:ascii="Arial" w:eastAsia="Arial" w:hAnsi="Arial" w:cs="Arial"/>
          <w:color w:val="000000"/>
        </w:rPr>
        <w:t>zákonem č. 100/2001 Sb., o posuzování vlivů na životní prostředí (EIA),</w:t>
      </w:r>
    </w:p>
    <w:p w14:paraId="00000065" w14:textId="77777777" w:rsidR="00F90809" w:rsidRDefault="00000000">
      <w:pPr>
        <w:numPr>
          <w:ilvl w:val="2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</w:rPr>
      </w:pPr>
      <w:r>
        <w:rPr>
          <w:rFonts w:ascii="Arial" w:eastAsia="Arial" w:hAnsi="Arial" w:cs="Arial"/>
          <w:color w:val="000000"/>
        </w:rPr>
        <w:t>zákonem č. 114/1992 Sb., o ochraně přírody a krajiny,</w:t>
      </w:r>
    </w:p>
    <w:p w14:paraId="00000066" w14:textId="77777777" w:rsidR="00F90809" w:rsidRDefault="00000000">
      <w:pPr>
        <w:numPr>
          <w:ilvl w:val="2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</w:rPr>
      </w:pPr>
      <w:r>
        <w:rPr>
          <w:rFonts w:ascii="Arial" w:eastAsia="Arial" w:hAnsi="Arial" w:cs="Arial"/>
          <w:color w:val="000000"/>
        </w:rPr>
        <w:t>zákonem č. 334/1992 Sb., o ochraně zemědělského půdního fondu,</w:t>
      </w:r>
    </w:p>
    <w:p w14:paraId="00000067" w14:textId="77777777" w:rsidR="00F90809" w:rsidRDefault="00000000">
      <w:pPr>
        <w:numPr>
          <w:ilvl w:val="2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</w:rPr>
      </w:pPr>
      <w:r>
        <w:rPr>
          <w:rFonts w:ascii="Arial" w:eastAsia="Arial" w:hAnsi="Arial" w:cs="Arial"/>
          <w:color w:val="000000"/>
        </w:rPr>
        <w:t>zákonem č. 283/2021 Sb., stavební zákon,</w:t>
      </w:r>
    </w:p>
    <w:p w14:paraId="00000068" w14:textId="77777777" w:rsidR="00F90809" w:rsidRDefault="00000000">
      <w:pPr>
        <w:numPr>
          <w:ilvl w:val="2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</w:rPr>
      </w:pPr>
      <w:r>
        <w:rPr>
          <w:rFonts w:ascii="Arial" w:eastAsia="Arial" w:hAnsi="Arial" w:cs="Arial"/>
          <w:color w:val="000000"/>
        </w:rPr>
        <w:t>podmínkami směrnice EU RED III (nevhodně zvolená lokalita, nevyřešené dopady)</w:t>
      </w:r>
    </w:p>
    <w:p w14:paraId="00000069" w14:textId="77777777" w:rsidR="00F90809" w:rsidRDefault="00000000">
      <w:pPr>
        <w:numPr>
          <w:ilvl w:val="2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</w:rPr>
      </w:pPr>
      <w:r>
        <w:rPr>
          <w:rFonts w:ascii="Arial" w:eastAsia="Arial" w:hAnsi="Arial" w:cs="Arial"/>
          <w:color w:val="000000"/>
        </w:rPr>
        <w:t>principem předběžné opatrnosti dle čl. 191 SFEU,</w:t>
      </w:r>
    </w:p>
    <w:p w14:paraId="0000006A" w14:textId="77777777" w:rsidR="00F90809" w:rsidRDefault="00000000">
      <w:pPr>
        <w:numPr>
          <w:ilvl w:val="2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</w:rPr>
      </w:pPr>
      <w:r>
        <w:rPr>
          <w:rFonts w:ascii="Arial" w:eastAsia="Arial" w:hAnsi="Arial" w:cs="Arial"/>
          <w:color w:val="000000"/>
        </w:rPr>
        <w:t>právem na příznivé životní prostředí dle čl. 35 Listiny základních práv a svobod,</w:t>
      </w:r>
    </w:p>
    <w:p w14:paraId="0000006B" w14:textId="77777777" w:rsidR="00F90809" w:rsidRDefault="00000000">
      <w:pPr>
        <w:numPr>
          <w:ilvl w:val="2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</w:rPr>
      </w:pPr>
      <w:r>
        <w:rPr>
          <w:rFonts w:ascii="Arial" w:eastAsia="Arial" w:hAnsi="Arial" w:cs="Arial"/>
          <w:color w:val="000000"/>
        </w:rPr>
        <w:t>právem na ochranu zdraví dle čl. 31 Listiny základních práv a svobod,</w:t>
      </w:r>
    </w:p>
    <w:p w14:paraId="0000006C" w14:textId="77777777" w:rsidR="00F90809" w:rsidRDefault="00000000">
      <w:pPr>
        <w:numPr>
          <w:ilvl w:val="2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color w:val="000000"/>
        </w:rPr>
      </w:pPr>
      <w:r>
        <w:rPr>
          <w:rFonts w:ascii="Arial" w:eastAsia="Arial" w:hAnsi="Arial" w:cs="Arial"/>
          <w:color w:val="000000"/>
        </w:rPr>
        <w:t>právem na ochranu vlastnictví dle čl. 11 Listiny základních práv a svobod.</w:t>
      </w:r>
    </w:p>
    <w:p w14:paraId="0000006D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6E" w14:textId="77777777" w:rsidR="00F90809" w:rsidRDefault="00000000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  <w:r>
        <w:rPr>
          <w:rFonts w:ascii="Arial" w:eastAsia="Arial" w:hAnsi="Arial" w:cs="Arial"/>
          <w:b/>
          <w:bCs/>
          <w:sz w:val="24"/>
          <w:szCs w:val="24"/>
          <w:u w:val="single"/>
        </w:rPr>
        <w:t>Závěr</w:t>
      </w:r>
    </w:p>
    <w:p w14:paraId="0000006F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70" w14:textId="77777777" w:rsidR="00F90809" w:rsidRDefault="00000000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Navržená akcelerační oblast </w:t>
      </w:r>
      <w:r>
        <w:rPr>
          <w:rFonts w:ascii="Arial" w:eastAsia="Arial" w:hAnsi="Arial" w:cs="Arial"/>
          <w:b/>
          <w:bCs/>
        </w:rPr>
        <w:t>má zásadní střety s přírodou, krajinou, vodou i kvalitou života obyvatel</w:t>
      </w:r>
      <w:r>
        <w:rPr>
          <w:rFonts w:ascii="Arial" w:eastAsia="Arial" w:hAnsi="Arial" w:cs="Arial"/>
        </w:rPr>
        <w:t>. Tyto problémy nejsou řešeny, ale pouze částečně zmírňovány.</w:t>
      </w:r>
    </w:p>
    <w:p w14:paraId="00000071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72" w14:textId="77777777" w:rsidR="00F90809" w:rsidRDefault="00000000">
      <w:pPr>
        <w:spacing w:after="0" w:line="24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</w:rPr>
        <w:t xml:space="preserve">Návrh nemá dostatečné podklady, neřeší varianty řešení a nedostatečně hodnotí kumulativní dopady. Z uvedených důvodů požaduji </w:t>
      </w:r>
      <w:r>
        <w:rPr>
          <w:rFonts w:ascii="Arial" w:eastAsia="Arial" w:hAnsi="Arial" w:cs="Arial"/>
          <w:b/>
          <w:bCs/>
        </w:rPr>
        <w:t>vyloučení uvedené akcelerační oblasti z návrhu změny č. 2 ÚRP.</w:t>
      </w:r>
    </w:p>
    <w:p w14:paraId="00000073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74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75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76" w14:textId="77777777" w:rsidR="00F90809" w:rsidRDefault="00000000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V ........................................ dne ........................................</w:t>
      </w:r>
    </w:p>
    <w:p w14:paraId="00000077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78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79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7A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p w14:paraId="0000007B" w14:textId="77777777" w:rsidR="00F90809" w:rsidRDefault="00000000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Jméno a příjmení: ..............................................................</w:t>
      </w:r>
      <w:r>
        <w:rPr>
          <w:rFonts w:ascii="Arial" w:eastAsia="Arial" w:hAnsi="Arial" w:cs="Arial"/>
        </w:rPr>
        <w:tab/>
        <w:t>Podpis: ..................................................</w:t>
      </w:r>
    </w:p>
    <w:p w14:paraId="0000007C" w14:textId="77777777" w:rsidR="00F90809" w:rsidRDefault="00F90809">
      <w:pPr>
        <w:spacing w:after="0" w:line="240" w:lineRule="auto"/>
        <w:rPr>
          <w:rFonts w:ascii="Arial" w:eastAsia="Arial" w:hAnsi="Arial" w:cs="Arial"/>
        </w:rPr>
      </w:pPr>
    </w:p>
    <w:sectPr w:rsidR="00F90809">
      <w:footerReference w:type="default" r:id="rId7"/>
      <w:pgSz w:w="12240" w:h="15840"/>
      <w:pgMar w:top="993" w:right="1080" w:bottom="1134" w:left="108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76598" w14:textId="77777777" w:rsidR="00CC6E3B" w:rsidRDefault="00CC6E3B">
      <w:pPr>
        <w:spacing w:after="0" w:line="240" w:lineRule="auto"/>
      </w:pPr>
      <w:r>
        <w:separator/>
      </w:r>
    </w:p>
  </w:endnote>
  <w:endnote w:type="continuationSeparator" w:id="0">
    <w:p w14:paraId="40E41B44" w14:textId="77777777" w:rsidR="00CC6E3B" w:rsidRDefault="00CC6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1" w:fontKey="{E6DD8D0D-2561-481B-8512-E63CA4051F71}"/>
    <w:embedBold r:id="rId2" w:fontKey="{2B489F38-DED6-4F20-92A8-1AA96C7DE05E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1CFF6355-6366-431F-82C8-67294347F053}"/>
    <w:embedBold r:id="rId4" w:fontKey="{D49D7CC8-1D6B-4600-A42A-0902494A2ED7}"/>
    <w:embedItalic r:id="rId5" w:fontKey="{80D2D261-6818-4320-A5F7-3DDCFD9DF3B4}"/>
    <w:embedBoldItalic r:id="rId6" w:fontKey="{EE8B5DCF-20AF-4909-B68E-AD8599B1C68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7D" w14:textId="28DD0651" w:rsidR="00F9080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E0044D">
      <w:rPr>
        <w:noProof/>
        <w:color w:val="000000"/>
      </w:rPr>
      <w:t>1</w:t>
    </w:r>
    <w:r>
      <w:rPr>
        <w:color w:val="000000"/>
      </w:rPr>
      <w:fldChar w:fldCharType="end"/>
    </w:r>
  </w:p>
  <w:p w14:paraId="0000007E" w14:textId="77777777" w:rsidR="00F90809" w:rsidRDefault="00F9080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FF34C7" w14:textId="77777777" w:rsidR="00CC6E3B" w:rsidRDefault="00CC6E3B">
      <w:pPr>
        <w:spacing w:after="0" w:line="240" w:lineRule="auto"/>
      </w:pPr>
      <w:r>
        <w:separator/>
      </w:r>
    </w:p>
  </w:footnote>
  <w:footnote w:type="continuationSeparator" w:id="0">
    <w:p w14:paraId="674F858C" w14:textId="77777777" w:rsidR="00CC6E3B" w:rsidRDefault="00CC6E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24882"/>
    <w:multiLevelType w:val="multilevel"/>
    <w:tmpl w:val="F15A94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2">
      <w:numFmt w:val="bullet"/>
      <w:lvlText w:val="-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C4E0B4C"/>
    <w:multiLevelType w:val="multilevel"/>
    <w:tmpl w:val="A1FA87E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27A5CA3"/>
    <w:multiLevelType w:val="multilevel"/>
    <w:tmpl w:val="4F805EF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4D07A10"/>
    <w:multiLevelType w:val="multilevel"/>
    <w:tmpl w:val="0D74A1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0031595"/>
    <w:multiLevelType w:val="multilevel"/>
    <w:tmpl w:val="7988B57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0295874"/>
    <w:multiLevelType w:val="multilevel"/>
    <w:tmpl w:val="2EA020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A9764AA"/>
    <w:multiLevelType w:val="multilevel"/>
    <w:tmpl w:val="1786C3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5B56B2B"/>
    <w:multiLevelType w:val="multilevel"/>
    <w:tmpl w:val="5BA425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CA04D45"/>
    <w:multiLevelType w:val="multilevel"/>
    <w:tmpl w:val="41CC9B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4F121C88"/>
    <w:multiLevelType w:val="multilevel"/>
    <w:tmpl w:val="71125C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711E62AA"/>
    <w:multiLevelType w:val="multilevel"/>
    <w:tmpl w:val="CD06D3E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68607926">
    <w:abstractNumId w:val="1"/>
  </w:num>
  <w:num w:numId="2" w16cid:durableId="431126843">
    <w:abstractNumId w:val="10"/>
  </w:num>
  <w:num w:numId="3" w16cid:durableId="260259193">
    <w:abstractNumId w:val="4"/>
  </w:num>
  <w:num w:numId="4" w16cid:durableId="1291126960">
    <w:abstractNumId w:val="8"/>
  </w:num>
  <w:num w:numId="5" w16cid:durableId="67652764">
    <w:abstractNumId w:val="0"/>
  </w:num>
  <w:num w:numId="6" w16cid:durableId="86661995">
    <w:abstractNumId w:val="7"/>
  </w:num>
  <w:num w:numId="7" w16cid:durableId="13505369">
    <w:abstractNumId w:val="9"/>
  </w:num>
  <w:num w:numId="8" w16cid:durableId="1200049993">
    <w:abstractNumId w:val="3"/>
  </w:num>
  <w:num w:numId="9" w16cid:durableId="1710448451">
    <w:abstractNumId w:val="6"/>
  </w:num>
  <w:num w:numId="10" w16cid:durableId="1013915100">
    <w:abstractNumId w:val="5"/>
  </w:num>
  <w:num w:numId="11" w16cid:durableId="17301795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809"/>
    <w:rsid w:val="00111D44"/>
    <w:rsid w:val="00CC6E3B"/>
    <w:rsid w:val="00E0044D"/>
    <w:rsid w:val="00F90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0CD974-FDED-4F02-A8AB-628380128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cs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rPr>
      <w:rFonts w:ascii="Calibri" w:eastAsia="Calibri" w:hAnsi="Calibri" w:cs="Calibri"/>
      <w:i/>
      <w:iCs/>
      <w:color w:val="4F81B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918</Words>
  <Characters>5423</Characters>
  <Application>Microsoft Office Word</Application>
  <DocSecurity>0</DocSecurity>
  <Lines>45</Lines>
  <Paragraphs>12</Paragraphs>
  <ScaleCrop>false</ScaleCrop>
  <Company/>
  <LinksUpToDate>false</LinksUpToDate>
  <CharactersWithSpaces>6329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Skypalová</dc:creator>
  <cp:lastModifiedBy>Ivana Skypalová</cp:lastModifiedBy>
  <cp:revision>2</cp:revision>
  <dcterms:created xsi:type="dcterms:W3CDTF">2026-05-14T18:24:00Z</dcterms:created>
  <dcterms:modified xsi:type="dcterms:W3CDTF">2026-05-14T18:24:00Z</dcterms:modified>
</cp:coreProperties>
</file>